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8BF5" w14:textId="77777777" w:rsidR="00D120F2" w:rsidRDefault="00000000">
      <w:pPr>
        <w:spacing w:line="440" w:lineRule="exact"/>
        <w:jc w:val="center"/>
        <w:rPr>
          <w:rFonts w:ascii="Times New Roman" w:eastAsia="黑体" w:hAnsi="Times New Roman"/>
          <w:sz w:val="36"/>
          <w:szCs w:val="36"/>
        </w:rPr>
      </w:pPr>
      <w:r>
        <w:rPr>
          <w:rFonts w:ascii="Times New Roman" w:eastAsia="黑体" w:hAnsi="Times New Roman"/>
          <w:sz w:val="36"/>
          <w:szCs w:val="36"/>
        </w:rPr>
        <w:t>经营者集中简易案件公示表</w:t>
      </w:r>
    </w:p>
    <w:p w14:paraId="1B61FFA9" w14:textId="77777777" w:rsidR="00D120F2" w:rsidRDefault="00D120F2">
      <w:pPr>
        <w:adjustRightInd w:val="0"/>
        <w:snapToGrid w:val="0"/>
        <w:jc w:val="left"/>
        <w:rPr>
          <w:rFonts w:asciiTheme="minorEastAsia" w:eastAsiaTheme="minorEastAsia" w:hAnsiTheme="minorEastAsia" w:hint="eastAsia"/>
          <w:b/>
          <w:bCs/>
          <w:color w:val="000000"/>
          <w:sz w:val="24"/>
          <w:szCs w:val="24"/>
          <w:shd w:val="pct10" w:color="auto" w:fill="FFFFFF"/>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382"/>
        <w:gridCol w:w="5243"/>
      </w:tblGrid>
      <w:tr w:rsidR="00D120F2" w14:paraId="621C9F05" w14:textId="77777777" w:rsidTr="00195AF9">
        <w:trPr>
          <w:trHeight w:val="519"/>
        </w:trPr>
        <w:tc>
          <w:tcPr>
            <w:tcW w:w="1006" w:type="pct"/>
            <w:shd w:val="clear" w:color="auto" w:fill="D9D9D9"/>
            <w:vAlign w:val="center"/>
          </w:tcPr>
          <w:p w14:paraId="1999BF14" w14:textId="77777777" w:rsidR="00D120F2" w:rsidRDefault="00000000">
            <w:pPr>
              <w:pStyle w:val="a5"/>
              <w:adjustRightInd w:val="0"/>
              <w:snapToGrid w:val="0"/>
              <w:spacing w:after="0"/>
              <w:rPr>
                <w:rFonts w:eastAsiaTheme="minorEastAsia" w:cs="Times New Roman"/>
                <w:bCs/>
                <w:color w:val="000000"/>
                <w:lang w:val="en-US"/>
              </w:rPr>
            </w:pPr>
            <w:proofErr w:type="spellStart"/>
            <w:r>
              <w:rPr>
                <w:rFonts w:eastAsiaTheme="minorEastAsia" w:cs="Times New Roman"/>
                <w:bCs/>
                <w:color w:val="000000"/>
              </w:rPr>
              <w:t>案件名称</w:t>
            </w:r>
            <w:proofErr w:type="spellEnd"/>
          </w:p>
        </w:tc>
        <w:tc>
          <w:tcPr>
            <w:tcW w:w="3993" w:type="pct"/>
            <w:gridSpan w:val="2"/>
            <w:vAlign w:val="center"/>
          </w:tcPr>
          <w:p w14:paraId="3A441D16" w14:textId="77777777" w:rsidR="00D120F2" w:rsidRDefault="00000000">
            <w:pPr>
              <w:adjustRightInd w:val="0"/>
              <w:snapToGrid w:val="0"/>
              <w:rPr>
                <w:rFonts w:ascii="Times New Roman" w:eastAsiaTheme="minorEastAsia" w:hAnsi="Times New Roman"/>
                <w:sz w:val="24"/>
                <w:szCs w:val="24"/>
              </w:rPr>
            </w:pPr>
            <w:r>
              <w:rPr>
                <w:rFonts w:ascii="Times New Roman" w:eastAsiaTheme="minorEastAsia" w:hAnsi="Times New Roman" w:hint="eastAsia"/>
                <w:sz w:val="24"/>
                <w:szCs w:val="24"/>
              </w:rPr>
              <w:t>申通快递股份有限公司收购浙江丹鸟物流科技有限公司股权案</w:t>
            </w:r>
          </w:p>
        </w:tc>
      </w:tr>
      <w:tr w:rsidR="00D120F2" w14:paraId="771467D7" w14:textId="77777777" w:rsidTr="00195AF9">
        <w:trPr>
          <w:trHeight w:val="1391"/>
        </w:trPr>
        <w:tc>
          <w:tcPr>
            <w:tcW w:w="1006" w:type="pct"/>
            <w:shd w:val="clear" w:color="auto" w:fill="D9D9D9"/>
            <w:vAlign w:val="center"/>
          </w:tcPr>
          <w:p w14:paraId="7F0D6E56" w14:textId="77777777" w:rsidR="00D120F2" w:rsidRDefault="00000000">
            <w:pPr>
              <w:pStyle w:val="a5"/>
              <w:adjustRightInd w:val="0"/>
              <w:snapToGrid w:val="0"/>
              <w:spacing w:after="0"/>
              <w:rPr>
                <w:rFonts w:eastAsiaTheme="minorEastAsia" w:cs="Times New Roman"/>
                <w:bCs/>
                <w:color w:val="000000"/>
                <w:lang w:val="en-US" w:eastAsia="zh-CN"/>
              </w:rPr>
            </w:pPr>
            <w:r>
              <w:rPr>
                <w:rFonts w:eastAsiaTheme="minorEastAsia" w:cs="Times New Roman"/>
                <w:bCs/>
                <w:color w:val="000000"/>
                <w:lang w:eastAsia="zh-CN"/>
              </w:rPr>
              <w:t>交易概况（限</w:t>
            </w:r>
            <w:r>
              <w:rPr>
                <w:rFonts w:eastAsiaTheme="minorEastAsia" w:cs="Times New Roman"/>
                <w:bCs/>
                <w:color w:val="000000"/>
                <w:lang w:eastAsia="zh-CN"/>
              </w:rPr>
              <w:t>200</w:t>
            </w:r>
            <w:r>
              <w:rPr>
                <w:rFonts w:eastAsiaTheme="minorEastAsia" w:cs="Times New Roman"/>
                <w:bCs/>
                <w:color w:val="000000"/>
                <w:lang w:eastAsia="zh-CN"/>
              </w:rPr>
              <w:t>字内）</w:t>
            </w:r>
          </w:p>
        </w:tc>
        <w:tc>
          <w:tcPr>
            <w:tcW w:w="3993" w:type="pct"/>
            <w:gridSpan w:val="2"/>
            <w:vAlign w:val="center"/>
          </w:tcPr>
          <w:p w14:paraId="414ECC2F" w14:textId="77777777" w:rsidR="00D120F2" w:rsidRDefault="00000000">
            <w:pPr>
              <w:adjustRightInd w:val="0"/>
              <w:snapToGrid w:val="0"/>
              <w:rPr>
                <w:rFonts w:ascii="Times New Roman" w:eastAsiaTheme="minorEastAsia" w:hAnsi="Times New Roman"/>
                <w:sz w:val="24"/>
                <w:szCs w:val="24"/>
              </w:rPr>
            </w:pPr>
            <w:r>
              <w:rPr>
                <w:rFonts w:ascii="Times New Roman" w:eastAsiaTheme="minorEastAsia" w:hAnsi="Times New Roman" w:hint="eastAsia"/>
                <w:sz w:val="24"/>
                <w:szCs w:val="24"/>
              </w:rPr>
              <w:t>申通快递股份有限公司（“</w:t>
            </w:r>
            <w:r>
              <w:rPr>
                <w:rFonts w:ascii="Times New Roman" w:eastAsiaTheme="minorEastAsia" w:hAnsi="Times New Roman" w:hint="eastAsia"/>
                <w:b/>
                <w:bCs/>
                <w:sz w:val="24"/>
                <w:szCs w:val="24"/>
              </w:rPr>
              <w:t>申通快递</w:t>
            </w:r>
            <w:r>
              <w:rPr>
                <w:rFonts w:ascii="Times New Roman" w:eastAsiaTheme="minorEastAsia" w:hAnsi="Times New Roman" w:hint="eastAsia"/>
                <w:sz w:val="24"/>
                <w:szCs w:val="24"/>
              </w:rPr>
              <w:t>”）的全资子公司申通快递有限公司与浙江菜鸟供应链管理有限公司等签署协议，申通快递收购浙江丹鸟物流科技有限公司（“</w:t>
            </w:r>
            <w:r>
              <w:rPr>
                <w:rFonts w:ascii="Times New Roman" w:eastAsiaTheme="minorEastAsia" w:hAnsi="Times New Roman" w:hint="eastAsia"/>
                <w:b/>
                <w:bCs/>
                <w:sz w:val="24"/>
                <w:szCs w:val="24"/>
              </w:rPr>
              <w:t>丹鸟物流</w:t>
            </w:r>
            <w:r>
              <w:rPr>
                <w:rFonts w:ascii="Times New Roman" w:eastAsiaTheme="minorEastAsia" w:hAnsi="Times New Roman" w:hint="eastAsia"/>
                <w:sz w:val="24"/>
                <w:szCs w:val="24"/>
              </w:rPr>
              <w:t>”）</w:t>
            </w:r>
            <w:r>
              <w:rPr>
                <w:rFonts w:ascii="Times New Roman" w:eastAsiaTheme="minorEastAsia" w:hAnsi="Times New Roman" w:hint="eastAsia"/>
                <w:sz w:val="24"/>
                <w:szCs w:val="24"/>
              </w:rPr>
              <w:t>100%</w:t>
            </w:r>
            <w:r>
              <w:rPr>
                <w:rFonts w:ascii="Times New Roman" w:eastAsiaTheme="minorEastAsia" w:hAnsi="Times New Roman" w:hint="eastAsia"/>
                <w:sz w:val="24"/>
                <w:szCs w:val="24"/>
              </w:rPr>
              <w:t>的股权。丹鸟物流主要在中国境内从事快递服务业务。</w:t>
            </w:r>
          </w:p>
          <w:p w14:paraId="06FBF321" w14:textId="77777777" w:rsidR="00D120F2" w:rsidRPr="007B6351" w:rsidRDefault="00D120F2">
            <w:pPr>
              <w:adjustRightInd w:val="0"/>
              <w:snapToGrid w:val="0"/>
              <w:rPr>
                <w:rFonts w:ascii="Times New Roman" w:eastAsiaTheme="minorEastAsia" w:hAnsi="Times New Roman"/>
                <w:sz w:val="24"/>
                <w:szCs w:val="24"/>
              </w:rPr>
            </w:pPr>
          </w:p>
          <w:p w14:paraId="33D46ADD" w14:textId="4CB3D272" w:rsidR="00D120F2" w:rsidRDefault="00000000">
            <w:pPr>
              <w:adjustRightInd w:val="0"/>
              <w:snapToGrid w:val="0"/>
              <w:rPr>
                <w:rFonts w:ascii="Times New Roman" w:eastAsiaTheme="minorEastAsia" w:hAnsi="Times New Roman"/>
                <w:sz w:val="24"/>
                <w:szCs w:val="24"/>
              </w:rPr>
            </w:pPr>
            <w:r>
              <w:rPr>
                <w:rFonts w:ascii="Times New Roman" w:eastAsiaTheme="minorEastAsia" w:hAnsi="Times New Roman" w:hint="eastAsia"/>
                <w:sz w:val="24"/>
                <w:szCs w:val="24"/>
              </w:rPr>
              <w:t>在本次交易前，</w:t>
            </w:r>
            <w:proofErr w:type="gramStart"/>
            <w:r>
              <w:rPr>
                <w:rFonts w:ascii="Times New Roman" w:eastAsiaTheme="minorEastAsia" w:hAnsi="Times New Roman" w:hint="eastAsia"/>
                <w:sz w:val="24"/>
                <w:szCs w:val="24"/>
              </w:rPr>
              <w:t>丹鸟物流</w:t>
            </w:r>
            <w:proofErr w:type="gramEnd"/>
            <w:r>
              <w:rPr>
                <w:rFonts w:ascii="Times New Roman" w:eastAsiaTheme="minorEastAsia" w:hAnsi="Times New Roman" w:hint="eastAsia"/>
                <w:sz w:val="24"/>
                <w:szCs w:val="24"/>
              </w:rPr>
              <w:t>由阿里巴巴集团控股有限公司单独控制；在本次交易完成后，申通快递将</w:t>
            </w:r>
            <w:proofErr w:type="gramStart"/>
            <w:r>
              <w:rPr>
                <w:rFonts w:ascii="Times New Roman" w:eastAsiaTheme="minorEastAsia" w:hAnsi="Times New Roman" w:hint="eastAsia"/>
                <w:sz w:val="24"/>
                <w:szCs w:val="24"/>
              </w:rPr>
              <w:t>持有丹鸟物流</w:t>
            </w:r>
            <w:proofErr w:type="gramEnd"/>
            <w:r>
              <w:rPr>
                <w:rFonts w:ascii="Times New Roman" w:eastAsiaTheme="minorEastAsia" w:hAnsi="Times New Roman" w:hint="eastAsia"/>
                <w:sz w:val="24"/>
                <w:szCs w:val="24"/>
              </w:rPr>
              <w:t>100%</w:t>
            </w:r>
            <w:r>
              <w:rPr>
                <w:rFonts w:ascii="Times New Roman" w:eastAsiaTheme="minorEastAsia" w:hAnsi="Times New Roman" w:hint="eastAsia"/>
                <w:sz w:val="24"/>
                <w:szCs w:val="24"/>
              </w:rPr>
              <w:t>的股权，单独</w:t>
            </w:r>
            <w:proofErr w:type="gramStart"/>
            <w:r>
              <w:rPr>
                <w:rFonts w:ascii="Times New Roman" w:eastAsiaTheme="minorEastAsia" w:hAnsi="Times New Roman" w:hint="eastAsia"/>
                <w:sz w:val="24"/>
                <w:szCs w:val="24"/>
              </w:rPr>
              <w:t>控制丹鸟物流</w:t>
            </w:r>
            <w:proofErr w:type="gramEnd"/>
            <w:r>
              <w:rPr>
                <w:rFonts w:ascii="Times New Roman" w:eastAsiaTheme="minorEastAsia" w:hAnsi="Times New Roman" w:hint="eastAsia"/>
                <w:sz w:val="24"/>
                <w:szCs w:val="24"/>
              </w:rPr>
              <w:t>。</w:t>
            </w:r>
          </w:p>
        </w:tc>
      </w:tr>
      <w:tr w:rsidR="00D120F2" w14:paraId="20277E6C" w14:textId="77777777" w:rsidTr="00195AF9">
        <w:trPr>
          <w:trHeight w:val="942"/>
        </w:trPr>
        <w:tc>
          <w:tcPr>
            <w:tcW w:w="1006" w:type="pct"/>
            <w:vMerge w:val="restart"/>
            <w:shd w:val="clear" w:color="auto" w:fill="D9D9D9"/>
            <w:vAlign w:val="center"/>
          </w:tcPr>
          <w:p w14:paraId="64E08EDA" w14:textId="77777777" w:rsidR="00D120F2" w:rsidRDefault="00000000">
            <w:pPr>
              <w:pStyle w:val="a5"/>
              <w:adjustRightInd w:val="0"/>
              <w:snapToGrid w:val="0"/>
              <w:spacing w:after="0"/>
              <w:rPr>
                <w:rFonts w:eastAsiaTheme="minorEastAsia" w:cs="Times New Roman"/>
                <w:bCs/>
                <w:color w:val="000000"/>
                <w:lang w:val="en-US" w:eastAsia="zh-CN"/>
              </w:rPr>
            </w:pPr>
            <w:r>
              <w:rPr>
                <w:rFonts w:eastAsiaTheme="minorEastAsia" w:cs="Times New Roman"/>
                <w:bCs/>
                <w:color w:val="000000"/>
                <w:lang w:eastAsia="zh-CN"/>
              </w:rPr>
              <w:t>参与集中的经营者简介（每个限</w:t>
            </w:r>
            <w:r>
              <w:rPr>
                <w:rFonts w:eastAsiaTheme="minorEastAsia" w:cs="Times New Roman"/>
                <w:bCs/>
                <w:color w:val="000000"/>
                <w:lang w:val="en-US" w:eastAsia="zh-CN"/>
              </w:rPr>
              <w:t>100</w:t>
            </w:r>
            <w:r>
              <w:rPr>
                <w:rFonts w:eastAsiaTheme="minorEastAsia" w:cs="Times New Roman"/>
                <w:bCs/>
                <w:color w:val="000000"/>
                <w:lang w:val="en-US" w:eastAsia="zh-CN"/>
              </w:rPr>
              <w:t>字以内</w:t>
            </w:r>
            <w:r>
              <w:rPr>
                <w:rFonts w:eastAsiaTheme="minorEastAsia" w:cs="Times New Roman"/>
                <w:bCs/>
                <w:color w:val="000000"/>
                <w:lang w:eastAsia="zh-CN"/>
              </w:rPr>
              <w:t>）</w:t>
            </w:r>
          </w:p>
        </w:tc>
        <w:tc>
          <w:tcPr>
            <w:tcW w:w="833" w:type="pct"/>
          </w:tcPr>
          <w:p w14:paraId="15D522D4" w14:textId="77777777" w:rsidR="00D120F2" w:rsidRDefault="00000000">
            <w:pPr>
              <w:pStyle w:val="a5"/>
              <w:numPr>
                <w:ilvl w:val="0"/>
                <w:numId w:val="1"/>
              </w:numPr>
              <w:adjustRightInd w:val="0"/>
              <w:snapToGrid w:val="0"/>
              <w:spacing w:after="0"/>
              <w:jc w:val="left"/>
              <w:rPr>
                <w:rFonts w:eastAsiaTheme="minorEastAsia" w:cs="Times New Roman"/>
                <w:bCs/>
                <w:kern w:val="2"/>
                <w:lang w:bidi="ar-SA"/>
              </w:rPr>
            </w:pPr>
            <w:r>
              <w:rPr>
                <w:rFonts w:eastAsiaTheme="minorEastAsia" w:cs="Times New Roman" w:hint="eastAsia"/>
                <w:bCs/>
                <w:kern w:val="2"/>
                <w:lang w:eastAsia="zh-CN" w:bidi="ar-SA"/>
              </w:rPr>
              <w:t>申通快递</w:t>
            </w:r>
          </w:p>
        </w:tc>
        <w:tc>
          <w:tcPr>
            <w:tcW w:w="3160" w:type="pct"/>
          </w:tcPr>
          <w:p w14:paraId="2CA5EC7E" w14:textId="510BD0E9" w:rsidR="00D120F2" w:rsidRDefault="00000000">
            <w:pPr>
              <w:rPr>
                <w:rFonts w:ascii="Times New Roman" w:eastAsiaTheme="minorEastAsia" w:hAnsi="Times New Roman"/>
                <w:sz w:val="24"/>
                <w:szCs w:val="24"/>
              </w:rPr>
            </w:pPr>
            <w:r>
              <w:rPr>
                <w:rFonts w:ascii="Times New Roman" w:eastAsiaTheme="minorEastAsia" w:hAnsi="Times New Roman" w:hint="eastAsia"/>
                <w:sz w:val="24"/>
                <w:szCs w:val="24"/>
              </w:rPr>
              <w:t>申通快递于</w:t>
            </w:r>
            <w:r>
              <w:rPr>
                <w:rFonts w:ascii="Times New Roman" w:eastAsiaTheme="minorEastAsia" w:hAnsi="Times New Roman" w:hint="eastAsia"/>
                <w:sz w:val="24"/>
                <w:szCs w:val="24"/>
              </w:rPr>
              <w:t>2001</w:t>
            </w:r>
            <w:r>
              <w:rPr>
                <w:rFonts w:ascii="Times New Roman" w:eastAsiaTheme="minorEastAsia" w:hAnsi="Times New Roman" w:hint="eastAsia"/>
                <w:sz w:val="24"/>
                <w:szCs w:val="24"/>
              </w:rPr>
              <w:t>年</w:t>
            </w:r>
            <w:r>
              <w:rPr>
                <w:rFonts w:ascii="Times New Roman" w:eastAsiaTheme="minorEastAsia" w:hAnsi="Times New Roman" w:hint="eastAsia"/>
                <w:sz w:val="24"/>
                <w:szCs w:val="24"/>
              </w:rPr>
              <w:t>11</w:t>
            </w:r>
            <w:r>
              <w:rPr>
                <w:rFonts w:ascii="Times New Roman" w:eastAsiaTheme="minorEastAsia" w:hAnsi="Times New Roman" w:hint="eastAsia"/>
                <w:sz w:val="24"/>
                <w:szCs w:val="24"/>
              </w:rPr>
              <w:t>月</w:t>
            </w:r>
            <w:r>
              <w:rPr>
                <w:rFonts w:ascii="Times New Roman" w:eastAsiaTheme="minorEastAsia" w:hAnsi="Times New Roman" w:hint="eastAsia"/>
                <w:sz w:val="24"/>
                <w:szCs w:val="24"/>
              </w:rPr>
              <w:t>1</w:t>
            </w:r>
            <w:r>
              <w:rPr>
                <w:rFonts w:ascii="Times New Roman" w:eastAsiaTheme="minorEastAsia" w:hAnsi="Times New Roman" w:hint="eastAsia"/>
                <w:sz w:val="24"/>
                <w:szCs w:val="24"/>
              </w:rPr>
              <w:t>日成立于</w:t>
            </w:r>
            <w:r>
              <w:rPr>
                <w:rFonts w:ascii="Times New Roman" w:eastAsiaTheme="minorEastAsia" w:hAnsi="Times New Roman"/>
                <w:sz w:val="24"/>
                <w:szCs w:val="24"/>
              </w:rPr>
              <w:t>浙江省台州市玉环市</w:t>
            </w:r>
            <w:r>
              <w:rPr>
                <w:rFonts w:ascii="Times New Roman" w:eastAsiaTheme="minorEastAsia" w:hAnsi="Times New Roman" w:hint="eastAsia"/>
                <w:sz w:val="24"/>
                <w:szCs w:val="24"/>
              </w:rPr>
              <w:t>，为深圳证券交易所上市公司，主要业务是快递服务业务。</w:t>
            </w:r>
          </w:p>
          <w:p w14:paraId="746E7091" w14:textId="58917D88" w:rsidR="00D120F2" w:rsidRDefault="00D120F2">
            <w:pPr>
              <w:rPr>
                <w:rFonts w:ascii="Times New Roman" w:eastAsiaTheme="minorEastAsia" w:hAnsi="Times New Roman"/>
                <w:sz w:val="24"/>
                <w:szCs w:val="24"/>
              </w:rPr>
            </w:pPr>
          </w:p>
          <w:p w14:paraId="4BE15FDD" w14:textId="77777777" w:rsidR="00D120F2" w:rsidRDefault="00000000">
            <w:pPr>
              <w:rPr>
                <w:rFonts w:ascii="Times New Roman" w:eastAsiaTheme="minorEastAsia" w:hAnsi="Times New Roman"/>
                <w:sz w:val="24"/>
                <w:szCs w:val="24"/>
              </w:rPr>
            </w:pPr>
            <w:r>
              <w:rPr>
                <w:rFonts w:ascii="Times New Roman" w:eastAsiaTheme="minorEastAsia" w:hAnsi="Times New Roman" w:hint="eastAsia"/>
                <w:sz w:val="24"/>
                <w:szCs w:val="24"/>
              </w:rPr>
              <w:t>申通快递最终控制人为自然人，主要通过控制的企业从事快递服务业务。</w:t>
            </w:r>
          </w:p>
        </w:tc>
      </w:tr>
      <w:tr w:rsidR="00D120F2" w14:paraId="02E9152C" w14:textId="77777777" w:rsidTr="00195AF9">
        <w:trPr>
          <w:trHeight w:val="984"/>
        </w:trPr>
        <w:tc>
          <w:tcPr>
            <w:tcW w:w="1006" w:type="pct"/>
            <w:vMerge/>
            <w:shd w:val="clear" w:color="auto" w:fill="D9D9D9"/>
            <w:vAlign w:val="center"/>
          </w:tcPr>
          <w:p w14:paraId="2629C69C" w14:textId="77777777" w:rsidR="00D120F2" w:rsidRDefault="00D120F2">
            <w:pPr>
              <w:pStyle w:val="a5"/>
              <w:adjustRightInd w:val="0"/>
              <w:snapToGrid w:val="0"/>
              <w:spacing w:after="0"/>
              <w:rPr>
                <w:rFonts w:eastAsiaTheme="minorEastAsia" w:cs="Times New Roman"/>
                <w:bCs/>
                <w:color w:val="000000"/>
                <w:lang w:val="en-US" w:eastAsia="zh-CN"/>
              </w:rPr>
            </w:pPr>
          </w:p>
        </w:tc>
        <w:tc>
          <w:tcPr>
            <w:tcW w:w="833" w:type="pct"/>
          </w:tcPr>
          <w:p w14:paraId="2BB50C31" w14:textId="77777777" w:rsidR="00D120F2" w:rsidRDefault="00000000">
            <w:pPr>
              <w:pStyle w:val="a5"/>
              <w:numPr>
                <w:ilvl w:val="0"/>
                <w:numId w:val="1"/>
              </w:numPr>
              <w:adjustRightInd w:val="0"/>
              <w:snapToGrid w:val="0"/>
              <w:spacing w:after="0"/>
              <w:rPr>
                <w:rFonts w:eastAsiaTheme="minorEastAsia" w:cs="Times New Roman"/>
                <w:bCs/>
                <w:color w:val="000000"/>
                <w:lang w:eastAsia="zh-CN"/>
              </w:rPr>
            </w:pPr>
            <w:r>
              <w:rPr>
                <w:rFonts w:eastAsiaTheme="minorEastAsia" w:cs="Times New Roman" w:hint="eastAsia"/>
                <w:bCs/>
                <w:color w:val="000000"/>
                <w:lang w:eastAsia="zh-CN"/>
              </w:rPr>
              <w:t>丹鸟物流</w:t>
            </w:r>
          </w:p>
        </w:tc>
        <w:tc>
          <w:tcPr>
            <w:tcW w:w="3160" w:type="pct"/>
          </w:tcPr>
          <w:p w14:paraId="5BA16C25" w14:textId="77777777" w:rsidR="00D120F2" w:rsidRDefault="00000000">
            <w:pPr>
              <w:rPr>
                <w:rFonts w:ascii="Times New Roman" w:eastAsiaTheme="minorEastAsia" w:hAnsi="Times New Roman"/>
                <w:sz w:val="24"/>
                <w:szCs w:val="24"/>
              </w:rPr>
            </w:pPr>
            <w:r>
              <w:rPr>
                <w:rFonts w:ascii="Times New Roman" w:eastAsiaTheme="minorEastAsia" w:hAnsi="Times New Roman" w:hint="eastAsia"/>
                <w:sz w:val="24"/>
                <w:szCs w:val="24"/>
              </w:rPr>
              <w:t>丹鸟物流于</w:t>
            </w:r>
            <w:r>
              <w:rPr>
                <w:rFonts w:ascii="Times New Roman" w:eastAsiaTheme="minorEastAsia" w:hAnsi="Times New Roman" w:hint="eastAsia"/>
                <w:sz w:val="24"/>
                <w:szCs w:val="24"/>
              </w:rPr>
              <w:t>2009</w:t>
            </w:r>
            <w:r>
              <w:rPr>
                <w:rFonts w:ascii="Times New Roman" w:eastAsiaTheme="minorEastAsia" w:hAnsi="Times New Roman" w:hint="eastAsia"/>
                <w:sz w:val="24"/>
                <w:szCs w:val="24"/>
              </w:rPr>
              <w:t>年</w:t>
            </w:r>
            <w:r>
              <w:rPr>
                <w:rFonts w:ascii="Times New Roman" w:eastAsiaTheme="minorEastAsia" w:hAnsi="Times New Roman" w:hint="eastAsia"/>
                <w:sz w:val="24"/>
                <w:szCs w:val="24"/>
              </w:rPr>
              <w:t>8</w:t>
            </w:r>
            <w:r>
              <w:rPr>
                <w:rFonts w:ascii="Times New Roman" w:eastAsiaTheme="minorEastAsia" w:hAnsi="Times New Roman" w:hint="eastAsia"/>
                <w:sz w:val="24"/>
                <w:szCs w:val="24"/>
              </w:rPr>
              <w:t>月</w:t>
            </w:r>
            <w:r>
              <w:rPr>
                <w:rFonts w:ascii="Times New Roman" w:eastAsiaTheme="minorEastAsia" w:hAnsi="Times New Roman" w:hint="eastAsia"/>
                <w:sz w:val="24"/>
                <w:szCs w:val="24"/>
              </w:rPr>
              <w:t>31</w:t>
            </w:r>
            <w:r>
              <w:rPr>
                <w:rFonts w:ascii="Times New Roman" w:eastAsiaTheme="minorEastAsia" w:hAnsi="Times New Roman" w:hint="eastAsia"/>
                <w:sz w:val="24"/>
                <w:szCs w:val="24"/>
              </w:rPr>
              <w:t>日成立于浙江省杭州市，主要业务为在中国境内从事快递服务业务。</w:t>
            </w:r>
          </w:p>
          <w:p w14:paraId="5ABEB80F" w14:textId="77777777" w:rsidR="00D120F2" w:rsidRDefault="00D120F2">
            <w:pPr>
              <w:rPr>
                <w:rFonts w:ascii="Times New Roman" w:eastAsiaTheme="minorEastAsia" w:hAnsi="Times New Roman"/>
                <w:sz w:val="24"/>
                <w:szCs w:val="24"/>
              </w:rPr>
            </w:pPr>
          </w:p>
          <w:p w14:paraId="61A7F183" w14:textId="0555A87C" w:rsidR="00D120F2" w:rsidRDefault="00000000">
            <w:pPr>
              <w:rPr>
                <w:rFonts w:ascii="Times New Roman" w:eastAsiaTheme="minorEastAsia" w:hAnsi="Times New Roman"/>
                <w:sz w:val="24"/>
                <w:szCs w:val="24"/>
              </w:rPr>
            </w:pPr>
            <w:proofErr w:type="gramStart"/>
            <w:r>
              <w:rPr>
                <w:rFonts w:ascii="Times New Roman" w:eastAsiaTheme="minorEastAsia" w:hAnsi="Times New Roman" w:hint="eastAsia"/>
                <w:sz w:val="24"/>
                <w:szCs w:val="24"/>
              </w:rPr>
              <w:t>丹鸟物流</w:t>
            </w:r>
            <w:proofErr w:type="gramEnd"/>
            <w:r>
              <w:rPr>
                <w:rFonts w:ascii="Times New Roman" w:eastAsiaTheme="minorEastAsia" w:hAnsi="Times New Roman" w:hint="eastAsia"/>
                <w:sz w:val="24"/>
                <w:szCs w:val="24"/>
              </w:rPr>
              <w:t>的最终控制人为阿里巴巴集团控股有限公司，主要从事中国网络销售平台业务、全球批发贸易平台业务、中国批发贸易平台业务、全球零售市场、</w:t>
            </w:r>
            <w:proofErr w:type="gramStart"/>
            <w:r>
              <w:rPr>
                <w:rFonts w:ascii="Times New Roman" w:eastAsiaTheme="minorEastAsia" w:hAnsi="Times New Roman" w:hint="eastAsia"/>
                <w:sz w:val="24"/>
                <w:szCs w:val="24"/>
              </w:rPr>
              <w:t>云计算</w:t>
            </w:r>
            <w:proofErr w:type="gramEnd"/>
            <w:r>
              <w:rPr>
                <w:rFonts w:ascii="Times New Roman" w:eastAsiaTheme="minorEastAsia" w:hAnsi="Times New Roman" w:hint="eastAsia"/>
                <w:sz w:val="24"/>
                <w:szCs w:val="24"/>
              </w:rPr>
              <w:t>产品与服务等。</w:t>
            </w:r>
          </w:p>
        </w:tc>
      </w:tr>
      <w:tr w:rsidR="00D120F2" w14:paraId="3EA7AF39" w14:textId="77777777" w:rsidTr="00195AF9">
        <w:trPr>
          <w:trHeight w:val="279"/>
        </w:trPr>
        <w:tc>
          <w:tcPr>
            <w:tcW w:w="1006" w:type="pct"/>
            <w:vMerge w:val="restart"/>
            <w:shd w:val="clear" w:color="auto" w:fill="D9D9D9"/>
            <w:vAlign w:val="center"/>
          </w:tcPr>
          <w:p w14:paraId="42DDDFA6" w14:textId="77777777" w:rsidR="00D120F2" w:rsidRDefault="00000000">
            <w:pPr>
              <w:pStyle w:val="a5"/>
              <w:adjustRightInd w:val="0"/>
              <w:snapToGrid w:val="0"/>
              <w:spacing w:after="0"/>
              <w:rPr>
                <w:rFonts w:eastAsiaTheme="minorEastAsia" w:cs="Times New Roman"/>
                <w:bCs/>
                <w:color w:val="000000"/>
                <w:lang w:val="en-US" w:eastAsia="zh-CN"/>
              </w:rPr>
            </w:pPr>
            <w:r>
              <w:rPr>
                <w:rFonts w:eastAsiaTheme="minorEastAsia" w:cs="Times New Roman"/>
                <w:bCs/>
                <w:color w:val="000000"/>
                <w:lang w:eastAsia="zh-CN"/>
              </w:rPr>
              <w:t>简易案件理由（可以单选，也可以多选）</w:t>
            </w:r>
          </w:p>
        </w:tc>
        <w:tc>
          <w:tcPr>
            <w:tcW w:w="3993" w:type="pct"/>
            <w:gridSpan w:val="2"/>
            <w:vAlign w:val="center"/>
          </w:tcPr>
          <w:p w14:paraId="54D9B2A8" w14:textId="77777777" w:rsidR="00D120F2" w:rsidRDefault="00000000">
            <w:pPr>
              <w:pStyle w:val="a5"/>
              <w:adjustRightInd w:val="0"/>
              <w:snapToGrid w:val="0"/>
              <w:spacing w:after="0"/>
              <w:rPr>
                <w:rFonts w:eastAsiaTheme="minorEastAsia" w:cs="Times New Roman"/>
                <w:bCs/>
                <w:color w:val="000000"/>
                <w:lang w:val="en-US" w:eastAsia="zh-CN"/>
              </w:rPr>
            </w:pPr>
            <w:r>
              <w:rPr>
                <w:rFonts w:eastAsiaTheme="minorEastAsia" w:cs="Times New Roman"/>
                <w:bCs/>
                <w:color w:val="000000"/>
                <w:lang w:eastAsia="zh-CN"/>
              </w:rPr>
              <w:sym w:font="Wingdings" w:char="00FE"/>
            </w:r>
            <w:r>
              <w:rPr>
                <w:rFonts w:eastAsiaTheme="minorEastAsia" w:cs="Times New Roman"/>
                <w:bCs/>
                <w:color w:val="000000"/>
                <w:lang w:eastAsia="zh-CN"/>
              </w:rPr>
              <w:t xml:space="preserve"> 1</w:t>
            </w:r>
            <w:r>
              <w:rPr>
                <w:rFonts w:eastAsiaTheme="minorEastAsia" w:cs="Times New Roman"/>
                <w:bCs/>
                <w:color w:val="000000"/>
                <w:lang w:eastAsia="zh-CN"/>
              </w:rPr>
              <w:t>、在同一相关市场，所有参与集中的经营者所占市场份额之和小于</w:t>
            </w:r>
            <w:r>
              <w:rPr>
                <w:rFonts w:eastAsiaTheme="minorEastAsia" w:cs="Times New Roman"/>
                <w:bCs/>
                <w:color w:val="000000"/>
                <w:lang w:eastAsia="zh-CN"/>
              </w:rPr>
              <w:t>15%</w:t>
            </w:r>
            <w:r>
              <w:rPr>
                <w:rFonts w:eastAsiaTheme="minorEastAsia" w:cs="Times New Roman"/>
                <w:bCs/>
                <w:color w:val="000000"/>
                <w:lang w:eastAsia="zh-CN"/>
              </w:rPr>
              <w:t>。</w:t>
            </w:r>
          </w:p>
        </w:tc>
      </w:tr>
      <w:tr w:rsidR="00D120F2" w14:paraId="04E00380" w14:textId="77777777" w:rsidTr="00195AF9">
        <w:trPr>
          <w:trHeight w:val="330"/>
        </w:trPr>
        <w:tc>
          <w:tcPr>
            <w:tcW w:w="1006" w:type="pct"/>
            <w:vMerge/>
            <w:shd w:val="clear" w:color="auto" w:fill="D9D9D9"/>
            <w:vAlign w:val="center"/>
          </w:tcPr>
          <w:p w14:paraId="41F9EF87" w14:textId="77777777" w:rsidR="00D120F2" w:rsidRDefault="00D120F2">
            <w:pPr>
              <w:pStyle w:val="a5"/>
              <w:adjustRightInd w:val="0"/>
              <w:snapToGrid w:val="0"/>
              <w:spacing w:after="0"/>
              <w:rPr>
                <w:rFonts w:eastAsiaTheme="minorEastAsia" w:cs="Times New Roman"/>
                <w:bCs/>
                <w:color w:val="000000"/>
                <w:lang w:val="en-US" w:eastAsia="zh-CN"/>
              </w:rPr>
            </w:pPr>
          </w:p>
        </w:tc>
        <w:tc>
          <w:tcPr>
            <w:tcW w:w="3993" w:type="pct"/>
            <w:gridSpan w:val="2"/>
            <w:vAlign w:val="center"/>
          </w:tcPr>
          <w:p w14:paraId="2C66F55F" w14:textId="77777777" w:rsidR="00D120F2" w:rsidRDefault="00000000">
            <w:pPr>
              <w:pStyle w:val="a5"/>
              <w:adjustRightInd w:val="0"/>
              <w:snapToGrid w:val="0"/>
              <w:spacing w:after="0"/>
              <w:rPr>
                <w:rFonts w:eastAsiaTheme="minorEastAsia" w:cs="Times New Roman"/>
                <w:bCs/>
                <w:color w:val="000000"/>
                <w:lang w:val="en-US" w:eastAsia="zh-CN"/>
              </w:rPr>
            </w:pPr>
            <w:r>
              <w:rPr>
                <w:rFonts w:eastAsiaTheme="minorEastAsia" w:cs="Times New Roman"/>
                <w:bCs/>
                <w:color w:val="000000"/>
                <w:lang w:eastAsia="zh-CN"/>
              </w:rPr>
              <w:sym w:font="Wingdings" w:char="00A8"/>
            </w:r>
            <w:r>
              <w:rPr>
                <w:rFonts w:eastAsiaTheme="minorEastAsia" w:cs="Times New Roman"/>
                <w:bCs/>
                <w:color w:val="000000"/>
                <w:lang w:eastAsia="zh-CN"/>
              </w:rPr>
              <w:t xml:space="preserve"> 2</w:t>
            </w:r>
            <w:r>
              <w:rPr>
                <w:rFonts w:eastAsiaTheme="minorEastAsia" w:cs="Times New Roman"/>
                <w:bCs/>
                <w:color w:val="000000"/>
                <w:lang w:eastAsia="zh-CN"/>
              </w:rPr>
              <w:t>、存在上下游关系的参与集中的经营者，在上下游市场所占的市场份额均小于</w:t>
            </w:r>
            <w:r>
              <w:rPr>
                <w:rFonts w:eastAsiaTheme="minorEastAsia" w:cs="Times New Roman"/>
                <w:bCs/>
                <w:color w:val="000000"/>
                <w:lang w:eastAsia="zh-CN"/>
              </w:rPr>
              <w:t>25%</w:t>
            </w:r>
            <w:r>
              <w:rPr>
                <w:rFonts w:eastAsiaTheme="minorEastAsia" w:cs="Times New Roman"/>
                <w:bCs/>
                <w:color w:val="000000"/>
                <w:lang w:eastAsia="zh-CN"/>
              </w:rPr>
              <w:t>。</w:t>
            </w:r>
          </w:p>
        </w:tc>
      </w:tr>
      <w:tr w:rsidR="00D120F2" w14:paraId="0DFAFAA1" w14:textId="77777777" w:rsidTr="00195AF9">
        <w:trPr>
          <w:trHeight w:val="285"/>
        </w:trPr>
        <w:tc>
          <w:tcPr>
            <w:tcW w:w="1006" w:type="pct"/>
            <w:vMerge/>
            <w:shd w:val="clear" w:color="auto" w:fill="D9D9D9"/>
            <w:vAlign w:val="center"/>
          </w:tcPr>
          <w:p w14:paraId="20F2EBA4" w14:textId="77777777" w:rsidR="00D120F2" w:rsidRDefault="00D120F2">
            <w:pPr>
              <w:pStyle w:val="a5"/>
              <w:adjustRightInd w:val="0"/>
              <w:snapToGrid w:val="0"/>
              <w:spacing w:after="0"/>
              <w:rPr>
                <w:rFonts w:eastAsiaTheme="minorEastAsia" w:cs="Times New Roman"/>
                <w:bCs/>
                <w:color w:val="000000"/>
                <w:lang w:val="en-US" w:eastAsia="zh-CN"/>
              </w:rPr>
            </w:pPr>
          </w:p>
        </w:tc>
        <w:tc>
          <w:tcPr>
            <w:tcW w:w="3993" w:type="pct"/>
            <w:gridSpan w:val="2"/>
            <w:vAlign w:val="center"/>
          </w:tcPr>
          <w:p w14:paraId="2246B784" w14:textId="77777777" w:rsidR="00D120F2" w:rsidRDefault="00000000">
            <w:pPr>
              <w:pStyle w:val="a5"/>
              <w:adjustRightInd w:val="0"/>
              <w:snapToGrid w:val="0"/>
              <w:spacing w:after="0"/>
              <w:rPr>
                <w:rFonts w:eastAsiaTheme="minorEastAsia" w:cs="Times New Roman"/>
                <w:bCs/>
                <w:color w:val="000000"/>
                <w:lang w:val="en-US" w:eastAsia="zh-CN"/>
              </w:rPr>
            </w:pPr>
            <w:r>
              <w:rPr>
                <w:rFonts w:eastAsiaTheme="minorEastAsia" w:cs="Times New Roman"/>
                <w:bCs/>
                <w:color w:val="000000"/>
                <w:lang w:eastAsia="zh-CN"/>
              </w:rPr>
              <w:sym w:font="Wingdings" w:char="00A8"/>
            </w:r>
            <w:r>
              <w:rPr>
                <w:rFonts w:eastAsiaTheme="minorEastAsia" w:cs="Times New Roman"/>
                <w:bCs/>
                <w:color w:val="000000"/>
                <w:lang w:eastAsia="zh-CN"/>
              </w:rPr>
              <w:t xml:space="preserve"> 3</w:t>
            </w:r>
            <w:r>
              <w:rPr>
                <w:rFonts w:eastAsiaTheme="minorEastAsia" w:cs="Times New Roman"/>
                <w:bCs/>
                <w:color w:val="000000"/>
                <w:lang w:eastAsia="zh-CN"/>
              </w:rPr>
              <w:t>、不在同一相关市场、也不存在上下游关系的参与集中的经营者，在与交易有关的每个市场所占的份额均小于</w:t>
            </w:r>
            <w:r>
              <w:rPr>
                <w:rFonts w:eastAsiaTheme="minorEastAsia" w:cs="Times New Roman"/>
                <w:bCs/>
                <w:color w:val="000000"/>
                <w:lang w:eastAsia="zh-CN"/>
              </w:rPr>
              <w:t>25%</w:t>
            </w:r>
            <w:r>
              <w:rPr>
                <w:rFonts w:eastAsiaTheme="minorEastAsia" w:cs="Times New Roman"/>
                <w:bCs/>
                <w:color w:val="000000"/>
                <w:lang w:eastAsia="zh-CN"/>
              </w:rPr>
              <w:t>。</w:t>
            </w:r>
          </w:p>
        </w:tc>
      </w:tr>
      <w:tr w:rsidR="00D120F2" w14:paraId="29F5872E" w14:textId="77777777" w:rsidTr="00195AF9">
        <w:trPr>
          <w:trHeight w:val="870"/>
        </w:trPr>
        <w:tc>
          <w:tcPr>
            <w:tcW w:w="1006" w:type="pct"/>
            <w:vMerge/>
            <w:shd w:val="clear" w:color="auto" w:fill="D9D9D9"/>
            <w:vAlign w:val="center"/>
          </w:tcPr>
          <w:p w14:paraId="706DA463" w14:textId="77777777" w:rsidR="00D120F2" w:rsidRDefault="00D120F2">
            <w:pPr>
              <w:pStyle w:val="a5"/>
              <w:adjustRightInd w:val="0"/>
              <w:snapToGrid w:val="0"/>
              <w:spacing w:after="0"/>
              <w:rPr>
                <w:rFonts w:eastAsiaTheme="minorEastAsia" w:cs="Times New Roman"/>
                <w:bCs/>
                <w:color w:val="000000"/>
                <w:lang w:val="en-US" w:eastAsia="zh-CN"/>
              </w:rPr>
            </w:pPr>
          </w:p>
        </w:tc>
        <w:tc>
          <w:tcPr>
            <w:tcW w:w="3993" w:type="pct"/>
            <w:gridSpan w:val="2"/>
            <w:vAlign w:val="center"/>
          </w:tcPr>
          <w:p w14:paraId="3948691E" w14:textId="77777777" w:rsidR="00D120F2" w:rsidRDefault="00000000">
            <w:pPr>
              <w:pStyle w:val="a5"/>
              <w:adjustRightInd w:val="0"/>
              <w:snapToGrid w:val="0"/>
              <w:spacing w:after="0"/>
              <w:rPr>
                <w:rFonts w:eastAsiaTheme="minorEastAsia" w:cs="Times New Roman"/>
                <w:bCs/>
                <w:color w:val="000000"/>
                <w:lang w:val="en-US" w:eastAsia="zh-CN"/>
              </w:rPr>
            </w:pPr>
            <w:r>
              <w:rPr>
                <w:rFonts w:eastAsiaTheme="minorEastAsia" w:cs="Times New Roman"/>
                <w:bCs/>
                <w:color w:val="000000"/>
                <w:lang w:eastAsia="zh-CN"/>
              </w:rPr>
              <w:sym w:font="Wingdings" w:char="00A8"/>
            </w:r>
            <w:r>
              <w:rPr>
                <w:rFonts w:eastAsiaTheme="minorEastAsia" w:cs="Times New Roman"/>
                <w:bCs/>
                <w:color w:val="000000"/>
                <w:lang w:eastAsia="zh-CN"/>
              </w:rPr>
              <w:t xml:space="preserve"> 4</w:t>
            </w:r>
            <w:r>
              <w:rPr>
                <w:rFonts w:eastAsiaTheme="minorEastAsia" w:cs="Times New Roman"/>
                <w:bCs/>
                <w:color w:val="000000"/>
                <w:lang w:eastAsia="zh-CN"/>
              </w:rPr>
              <w:t>、参与集中的经营者在中国境外设立合营企业，合营企业不在中国境内从事经济活动。</w:t>
            </w:r>
          </w:p>
        </w:tc>
      </w:tr>
      <w:tr w:rsidR="00D120F2" w14:paraId="108AD1D8" w14:textId="77777777" w:rsidTr="00195AF9">
        <w:trPr>
          <w:trHeight w:val="264"/>
        </w:trPr>
        <w:tc>
          <w:tcPr>
            <w:tcW w:w="1006" w:type="pct"/>
            <w:vMerge/>
            <w:shd w:val="clear" w:color="auto" w:fill="D9D9D9"/>
            <w:vAlign w:val="center"/>
          </w:tcPr>
          <w:p w14:paraId="4B4FBD09" w14:textId="77777777" w:rsidR="00D120F2" w:rsidRDefault="00D120F2">
            <w:pPr>
              <w:pStyle w:val="a5"/>
              <w:adjustRightInd w:val="0"/>
              <w:snapToGrid w:val="0"/>
              <w:spacing w:after="0"/>
              <w:rPr>
                <w:rFonts w:eastAsiaTheme="minorEastAsia" w:cs="Times New Roman"/>
                <w:bCs/>
                <w:color w:val="000000"/>
                <w:lang w:val="en-US" w:eastAsia="zh-CN"/>
              </w:rPr>
            </w:pPr>
          </w:p>
        </w:tc>
        <w:tc>
          <w:tcPr>
            <w:tcW w:w="3993" w:type="pct"/>
            <w:gridSpan w:val="2"/>
            <w:vAlign w:val="center"/>
          </w:tcPr>
          <w:p w14:paraId="4D13ED7E" w14:textId="77777777" w:rsidR="00D120F2" w:rsidRDefault="00000000">
            <w:pPr>
              <w:pStyle w:val="a5"/>
              <w:adjustRightInd w:val="0"/>
              <w:snapToGrid w:val="0"/>
              <w:spacing w:after="0"/>
              <w:rPr>
                <w:rFonts w:eastAsiaTheme="minorEastAsia" w:cs="Times New Roman"/>
                <w:bCs/>
                <w:color w:val="000000"/>
                <w:lang w:val="en-US" w:eastAsia="zh-CN"/>
              </w:rPr>
            </w:pPr>
            <w:r>
              <w:rPr>
                <w:rFonts w:eastAsiaTheme="minorEastAsia" w:cs="Times New Roman"/>
                <w:bCs/>
                <w:color w:val="000000"/>
                <w:lang w:eastAsia="zh-CN"/>
              </w:rPr>
              <w:sym w:font="Wingdings" w:char="00A8"/>
            </w:r>
            <w:r>
              <w:rPr>
                <w:rFonts w:eastAsiaTheme="minorEastAsia" w:cs="Times New Roman"/>
                <w:bCs/>
                <w:color w:val="000000"/>
                <w:lang w:eastAsia="zh-CN"/>
              </w:rPr>
              <w:t xml:space="preserve"> 5</w:t>
            </w:r>
            <w:r>
              <w:rPr>
                <w:rFonts w:eastAsiaTheme="minorEastAsia" w:cs="Times New Roman"/>
                <w:bCs/>
                <w:color w:val="000000"/>
                <w:lang w:eastAsia="zh-CN"/>
              </w:rPr>
              <w:t>、参与集中的经营者收购境外企业股权或资产的，该境外企业不在中国境内从事经济活动。</w:t>
            </w:r>
          </w:p>
        </w:tc>
      </w:tr>
      <w:tr w:rsidR="00D120F2" w14:paraId="3E5D732A" w14:textId="77777777" w:rsidTr="00195AF9">
        <w:trPr>
          <w:trHeight w:val="345"/>
        </w:trPr>
        <w:tc>
          <w:tcPr>
            <w:tcW w:w="1006" w:type="pct"/>
            <w:vMerge/>
            <w:shd w:val="clear" w:color="auto" w:fill="D9D9D9"/>
            <w:vAlign w:val="center"/>
          </w:tcPr>
          <w:p w14:paraId="38A1017E" w14:textId="77777777" w:rsidR="00D120F2" w:rsidRDefault="00D120F2">
            <w:pPr>
              <w:pStyle w:val="a5"/>
              <w:adjustRightInd w:val="0"/>
              <w:snapToGrid w:val="0"/>
              <w:spacing w:after="0"/>
              <w:rPr>
                <w:rFonts w:eastAsiaTheme="minorEastAsia" w:cs="Times New Roman"/>
                <w:bCs/>
                <w:color w:val="000000"/>
                <w:lang w:val="en-US" w:eastAsia="zh-CN"/>
              </w:rPr>
            </w:pPr>
          </w:p>
        </w:tc>
        <w:tc>
          <w:tcPr>
            <w:tcW w:w="3993" w:type="pct"/>
            <w:gridSpan w:val="2"/>
            <w:vAlign w:val="center"/>
          </w:tcPr>
          <w:p w14:paraId="13C31731" w14:textId="77777777" w:rsidR="00D120F2" w:rsidRDefault="00000000">
            <w:pPr>
              <w:pStyle w:val="a5"/>
              <w:adjustRightInd w:val="0"/>
              <w:snapToGrid w:val="0"/>
              <w:spacing w:after="0"/>
              <w:rPr>
                <w:rFonts w:eastAsiaTheme="minorEastAsia" w:cs="Times New Roman"/>
                <w:bCs/>
                <w:color w:val="000000"/>
                <w:lang w:val="en-US" w:eastAsia="zh-CN"/>
              </w:rPr>
            </w:pPr>
            <w:r>
              <w:rPr>
                <w:rFonts w:eastAsiaTheme="minorEastAsia" w:cs="Times New Roman"/>
                <w:bCs/>
                <w:color w:val="000000"/>
                <w:lang w:eastAsia="zh-CN"/>
              </w:rPr>
              <w:sym w:font="Wingdings" w:char="00A8"/>
            </w:r>
            <w:r>
              <w:rPr>
                <w:rFonts w:eastAsiaTheme="minorEastAsia" w:cs="Times New Roman"/>
                <w:bCs/>
                <w:color w:val="000000"/>
                <w:lang w:eastAsia="zh-CN"/>
              </w:rPr>
              <w:t xml:space="preserve"> 6</w:t>
            </w:r>
            <w:r>
              <w:rPr>
                <w:rFonts w:eastAsiaTheme="minorEastAsia" w:cs="Times New Roman"/>
                <w:bCs/>
                <w:color w:val="000000"/>
                <w:lang w:eastAsia="zh-CN"/>
              </w:rPr>
              <w:t>、由两个以上的经营者共同控制的合营企业，通过集中被其中一个或一个以上经营者控制。</w:t>
            </w:r>
          </w:p>
        </w:tc>
      </w:tr>
      <w:tr w:rsidR="00D120F2" w14:paraId="60E6BCA4" w14:textId="77777777" w:rsidTr="00195AF9">
        <w:trPr>
          <w:trHeight w:val="545"/>
        </w:trPr>
        <w:tc>
          <w:tcPr>
            <w:tcW w:w="1006" w:type="pct"/>
            <w:shd w:val="clear" w:color="auto" w:fill="D9D9D9"/>
            <w:vAlign w:val="center"/>
          </w:tcPr>
          <w:p w14:paraId="2217ED39" w14:textId="77777777" w:rsidR="00D120F2" w:rsidRDefault="00000000">
            <w:pPr>
              <w:pStyle w:val="a5"/>
              <w:adjustRightInd w:val="0"/>
              <w:snapToGrid w:val="0"/>
              <w:spacing w:after="0"/>
              <w:rPr>
                <w:rFonts w:eastAsiaTheme="minorEastAsia" w:cs="Times New Roman"/>
                <w:bCs/>
                <w:color w:val="000000"/>
                <w:lang w:val="en-US" w:eastAsia="zh-CN"/>
              </w:rPr>
            </w:pPr>
            <w:r>
              <w:rPr>
                <w:rFonts w:eastAsiaTheme="minorEastAsia" w:cs="Times New Roman"/>
                <w:bCs/>
                <w:color w:val="000000"/>
                <w:lang w:val="en-US" w:eastAsia="zh-CN"/>
              </w:rPr>
              <w:t>备注</w:t>
            </w:r>
          </w:p>
        </w:tc>
        <w:tc>
          <w:tcPr>
            <w:tcW w:w="3993" w:type="pct"/>
            <w:gridSpan w:val="2"/>
            <w:vAlign w:val="center"/>
          </w:tcPr>
          <w:p w14:paraId="0AF46AD1" w14:textId="77777777" w:rsidR="00D120F2" w:rsidRDefault="00000000">
            <w:pPr>
              <w:pStyle w:val="a5"/>
              <w:adjustRightInd w:val="0"/>
              <w:snapToGrid w:val="0"/>
              <w:spacing w:after="0"/>
              <w:rPr>
                <w:rFonts w:eastAsiaTheme="minorEastAsia" w:cs="Times New Roman"/>
                <w:b/>
                <w:color w:val="000000"/>
                <w:lang w:eastAsia="zh-CN"/>
              </w:rPr>
            </w:pPr>
            <w:r>
              <w:rPr>
                <w:rFonts w:eastAsiaTheme="minorEastAsia" w:cs="Times New Roman" w:hint="eastAsia"/>
                <w:b/>
                <w:color w:val="000000"/>
                <w:lang w:eastAsia="zh-CN"/>
              </w:rPr>
              <w:t>横向重叠：</w:t>
            </w:r>
          </w:p>
          <w:p w14:paraId="5DB295DC" w14:textId="77777777" w:rsidR="00D120F2" w:rsidRDefault="00000000">
            <w:pPr>
              <w:pStyle w:val="a5"/>
              <w:adjustRightInd w:val="0"/>
              <w:snapToGrid w:val="0"/>
              <w:spacing w:after="0"/>
              <w:rPr>
                <w:rFonts w:eastAsiaTheme="minorEastAsia" w:cs="Times New Roman"/>
                <w:bCs/>
                <w:color w:val="000000"/>
                <w:lang w:eastAsia="zh-CN"/>
              </w:rPr>
            </w:pPr>
            <w:r>
              <w:rPr>
                <w:rFonts w:eastAsiaTheme="minorEastAsia" w:cs="Times New Roman" w:hint="eastAsia"/>
                <w:bCs/>
                <w:color w:val="000000"/>
                <w:lang w:eastAsia="zh-CN"/>
              </w:rPr>
              <w:t>2024</w:t>
            </w:r>
            <w:r>
              <w:rPr>
                <w:rFonts w:eastAsiaTheme="minorEastAsia" w:cs="Times New Roman" w:hint="eastAsia"/>
                <w:bCs/>
                <w:color w:val="000000"/>
                <w:lang w:eastAsia="zh-CN"/>
              </w:rPr>
              <w:t>年中国境内快递服务市场</w:t>
            </w:r>
          </w:p>
          <w:p w14:paraId="272C1322" w14:textId="77777777" w:rsidR="00D120F2" w:rsidRDefault="00000000">
            <w:pPr>
              <w:pStyle w:val="a5"/>
              <w:adjustRightInd w:val="0"/>
              <w:snapToGrid w:val="0"/>
              <w:spacing w:after="0"/>
              <w:rPr>
                <w:rFonts w:eastAsiaTheme="minorEastAsia" w:cs="Times New Roman"/>
                <w:bCs/>
                <w:color w:val="000000"/>
                <w:lang w:eastAsia="zh-CN"/>
              </w:rPr>
            </w:pPr>
            <w:r>
              <w:rPr>
                <w:rFonts w:eastAsiaTheme="minorEastAsia" w:cs="Times New Roman" w:hint="eastAsia"/>
                <w:bCs/>
                <w:color w:val="000000"/>
                <w:lang w:eastAsia="zh-CN"/>
              </w:rPr>
              <w:t>申通快递：</w:t>
            </w:r>
            <w:r>
              <w:rPr>
                <w:rFonts w:eastAsiaTheme="minorEastAsia" w:cs="Times New Roman" w:hint="eastAsia"/>
                <w:bCs/>
                <w:color w:val="000000"/>
                <w:lang w:eastAsia="zh-CN"/>
              </w:rPr>
              <w:t>10-15%</w:t>
            </w:r>
            <w:r>
              <w:rPr>
                <w:rFonts w:eastAsiaTheme="minorEastAsia" w:cs="Times New Roman" w:hint="eastAsia"/>
                <w:bCs/>
                <w:color w:val="000000"/>
                <w:lang w:eastAsia="zh-CN"/>
              </w:rPr>
              <w:t>，丹鸟物流：</w:t>
            </w:r>
            <w:r>
              <w:rPr>
                <w:rFonts w:eastAsiaTheme="minorEastAsia" w:cs="Times New Roman" w:hint="eastAsia"/>
                <w:bCs/>
                <w:color w:val="000000"/>
                <w:lang w:eastAsia="zh-CN"/>
              </w:rPr>
              <w:t>0-5%</w:t>
            </w:r>
            <w:r>
              <w:rPr>
                <w:rFonts w:eastAsiaTheme="minorEastAsia" w:cs="Times New Roman" w:hint="eastAsia"/>
                <w:bCs/>
                <w:color w:val="000000"/>
                <w:lang w:eastAsia="zh-CN"/>
              </w:rPr>
              <w:t>，各方合计：</w:t>
            </w:r>
            <w:r>
              <w:rPr>
                <w:rFonts w:eastAsiaTheme="minorEastAsia" w:cs="Times New Roman" w:hint="eastAsia"/>
                <w:bCs/>
                <w:color w:val="000000"/>
                <w:lang w:eastAsia="zh-CN"/>
              </w:rPr>
              <w:t>10-15%</w:t>
            </w:r>
          </w:p>
        </w:tc>
      </w:tr>
    </w:tbl>
    <w:p w14:paraId="3B31A901" w14:textId="77777777" w:rsidR="00D120F2" w:rsidRPr="00195AF9" w:rsidRDefault="00D120F2">
      <w:pPr>
        <w:rPr>
          <w:rFonts w:ascii="Times New Roman" w:eastAsia="仿宋" w:hAnsi="Times New Roman"/>
          <w:sz w:val="24"/>
          <w:szCs w:val="24"/>
        </w:rPr>
      </w:pPr>
    </w:p>
    <w:sectPr w:rsidR="00D120F2" w:rsidRPr="00195AF9">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67846" w14:textId="77777777" w:rsidR="000F20C1" w:rsidRDefault="000F20C1">
      <w:r>
        <w:separator/>
      </w:r>
    </w:p>
  </w:endnote>
  <w:endnote w:type="continuationSeparator" w:id="0">
    <w:p w14:paraId="12623199" w14:textId="77777777" w:rsidR="000F20C1" w:rsidRDefault="000F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plified Arabic">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embedRegular r:id="rId1" w:subsetted="1" w:fontKey="{E31951F3-4B98-47B2-9BBA-E0163A7FD7F5}"/>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E45E" w14:textId="77777777" w:rsidR="00D120F2" w:rsidRDefault="00000000">
    <w:pPr>
      <w:tabs>
        <w:tab w:val="right" w:pos="8300"/>
      </w:tabs>
      <w:rPr>
        <w:rFonts w:ascii="Times New Roman" w:hAnsi="Times New Roman"/>
        <w:sz w:val="15"/>
      </w:rPr>
    </w:pPr>
    <w:r>
      <w:rPr>
        <w:rFonts w:ascii="Times New Roman" w:hAnsi="Times New Roman"/>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79B1" w14:textId="77777777" w:rsidR="00D120F2" w:rsidRDefault="00D120F2">
    <w:pPr>
      <w:pStyle w:val="ab"/>
    </w:pPr>
  </w:p>
  <w:p w14:paraId="21A87789" w14:textId="77777777" w:rsidR="00D120F2" w:rsidRDefault="00000000">
    <w:pPr>
      <w:tabs>
        <w:tab w:val="right" w:pos="8300"/>
      </w:tabs>
      <w:rPr>
        <w:rFonts w:ascii="Times New Roman" w:hAnsi="Times New Roman"/>
        <w:sz w:val="15"/>
      </w:rPr>
    </w:pPr>
    <w:r>
      <w:rPr>
        <w:rFonts w:ascii="Times New Roman" w:hAnsi="Times New Roman"/>
        <w:sz w:val="14"/>
      </w:rPr>
      <w:fldChar w:fldCharType="begin"/>
    </w:r>
    <w:r>
      <w:rPr>
        <w:rFonts w:ascii="Times New Roman" w:hAnsi="Times New Roman"/>
        <w:sz w:val="14"/>
      </w:rPr>
      <w:instrText xml:space="preserve"> DOCPROPERTY DPWPathText \* MERGEFORMAT </w:instrText>
    </w:r>
    <w:r>
      <w:rPr>
        <w:rFonts w:ascii="Times New Roman" w:hAnsi="Times New Roman"/>
        <w:sz w:val="14"/>
      </w:rPr>
      <w:fldChar w:fldCharType="separate"/>
    </w:r>
    <w:r>
      <w:rPr>
        <w:rFonts w:ascii="Times New Roman" w:hAnsi="Times New Roman"/>
        <w:sz w:val="14"/>
      </w:rPr>
      <w:t>#97717177v5</w:t>
    </w:r>
    <w:r>
      <w:rPr>
        <w:rFonts w:ascii="Times New Roman" w:hAnsi="Times New Roman"/>
        <w:sz w:val="14"/>
      </w:rPr>
      <w:fldChar w:fldCharType="end"/>
    </w:r>
    <w:r>
      <w:rPr>
        <w:rFonts w:ascii="Times New Roman" w:hAnsi="Times New Roman"/>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56DD" w14:textId="77777777" w:rsidR="000F20C1" w:rsidRDefault="000F20C1">
      <w:r>
        <w:separator/>
      </w:r>
    </w:p>
  </w:footnote>
  <w:footnote w:type="continuationSeparator" w:id="0">
    <w:p w14:paraId="7D7A9DCF" w14:textId="77777777" w:rsidR="000F20C1" w:rsidRDefault="000F2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C021B"/>
    <w:multiLevelType w:val="multilevel"/>
    <w:tmpl w:val="523C021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0810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xMDQGAiMjS1MDYyUdpeDU4uLM/DyQAsNaAAxkURMsAAAA"/>
  </w:docVars>
  <w:rsids>
    <w:rsidRoot w:val="00074D3D"/>
    <w:rsid w:val="FF7F59E6"/>
    <w:rsid w:val="00010F64"/>
    <w:rsid w:val="000136AE"/>
    <w:rsid w:val="0001697C"/>
    <w:rsid w:val="000240FA"/>
    <w:rsid w:val="00033643"/>
    <w:rsid w:val="00036E43"/>
    <w:rsid w:val="0004528C"/>
    <w:rsid w:val="0005556E"/>
    <w:rsid w:val="000604A9"/>
    <w:rsid w:val="00074D3D"/>
    <w:rsid w:val="00082A31"/>
    <w:rsid w:val="00092C79"/>
    <w:rsid w:val="000A0AA4"/>
    <w:rsid w:val="000A2D7D"/>
    <w:rsid w:val="000A50B3"/>
    <w:rsid w:val="000C5DCE"/>
    <w:rsid w:val="000F04BC"/>
    <w:rsid w:val="000F20C1"/>
    <w:rsid w:val="000F25B0"/>
    <w:rsid w:val="001102CC"/>
    <w:rsid w:val="00115EDD"/>
    <w:rsid w:val="001330CB"/>
    <w:rsid w:val="00144166"/>
    <w:rsid w:val="001531F0"/>
    <w:rsid w:val="00156904"/>
    <w:rsid w:val="001642E6"/>
    <w:rsid w:val="00172C77"/>
    <w:rsid w:val="001921BD"/>
    <w:rsid w:val="00195AF9"/>
    <w:rsid w:val="001A2E7E"/>
    <w:rsid w:val="001A7487"/>
    <w:rsid w:val="001E5BB8"/>
    <w:rsid w:val="001E5EC9"/>
    <w:rsid w:val="001F64D6"/>
    <w:rsid w:val="00213334"/>
    <w:rsid w:val="00217887"/>
    <w:rsid w:val="00221DA7"/>
    <w:rsid w:val="00223618"/>
    <w:rsid w:val="00285E4A"/>
    <w:rsid w:val="002875EE"/>
    <w:rsid w:val="00294130"/>
    <w:rsid w:val="002A1561"/>
    <w:rsid w:val="002A17E2"/>
    <w:rsid w:val="002A27D5"/>
    <w:rsid w:val="002B3A6A"/>
    <w:rsid w:val="002C3658"/>
    <w:rsid w:val="002C4805"/>
    <w:rsid w:val="002C4B86"/>
    <w:rsid w:val="002D2786"/>
    <w:rsid w:val="002E582A"/>
    <w:rsid w:val="002E7C3C"/>
    <w:rsid w:val="002E7D27"/>
    <w:rsid w:val="002F0F31"/>
    <w:rsid w:val="002F617C"/>
    <w:rsid w:val="003047E0"/>
    <w:rsid w:val="00320CD7"/>
    <w:rsid w:val="0034412A"/>
    <w:rsid w:val="00346DDA"/>
    <w:rsid w:val="00363D45"/>
    <w:rsid w:val="00367DAA"/>
    <w:rsid w:val="00370A5E"/>
    <w:rsid w:val="00375598"/>
    <w:rsid w:val="003801E6"/>
    <w:rsid w:val="003877B1"/>
    <w:rsid w:val="0039111D"/>
    <w:rsid w:val="00395012"/>
    <w:rsid w:val="003A3C98"/>
    <w:rsid w:val="003B2B22"/>
    <w:rsid w:val="003B31FD"/>
    <w:rsid w:val="003B3A48"/>
    <w:rsid w:val="003C3255"/>
    <w:rsid w:val="003D21EE"/>
    <w:rsid w:val="003D3BE6"/>
    <w:rsid w:val="003E03EC"/>
    <w:rsid w:val="003E25D4"/>
    <w:rsid w:val="004031A8"/>
    <w:rsid w:val="004160F9"/>
    <w:rsid w:val="004246EA"/>
    <w:rsid w:val="00450606"/>
    <w:rsid w:val="00455312"/>
    <w:rsid w:val="00460132"/>
    <w:rsid w:val="00467AD0"/>
    <w:rsid w:val="0047223A"/>
    <w:rsid w:val="004914EC"/>
    <w:rsid w:val="00497E62"/>
    <w:rsid w:val="004D16CF"/>
    <w:rsid w:val="004D62E0"/>
    <w:rsid w:val="004D7723"/>
    <w:rsid w:val="004E4D31"/>
    <w:rsid w:val="004E4EE7"/>
    <w:rsid w:val="004F26C2"/>
    <w:rsid w:val="004F2FA9"/>
    <w:rsid w:val="004F5B8B"/>
    <w:rsid w:val="005117A4"/>
    <w:rsid w:val="0051525B"/>
    <w:rsid w:val="00522B8F"/>
    <w:rsid w:val="00525194"/>
    <w:rsid w:val="00541F12"/>
    <w:rsid w:val="0055706A"/>
    <w:rsid w:val="0056584A"/>
    <w:rsid w:val="00570F77"/>
    <w:rsid w:val="005760CB"/>
    <w:rsid w:val="005B1F0C"/>
    <w:rsid w:val="005B37E1"/>
    <w:rsid w:val="005B5FA0"/>
    <w:rsid w:val="005C019A"/>
    <w:rsid w:val="005C4456"/>
    <w:rsid w:val="005D0340"/>
    <w:rsid w:val="005F174E"/>
    <w:rsid w:val="00600B0D"/>
    <w:rsid w:val="00605CB0"/>
    <w:rsid w:val="006064F9"/>
    <w:rsid w:val="00615A86"/>
    <w:rsid w:val="00632F61"/>
    <w:rsid w:val="00632FBE"/>
    <w:rsid w:val="0065404B"/>
    <w:rsid w:val="0067329D"/>
    <w:rsid w:val="00675B31"/>
    <w:rsid w:val="00691CEC"/>
    <w:rsid w:val="00694B3E"/>
    <w:rsid w:val="006A3BC5"/>
    <w:rsid w:val="006A696B"/>
    <w:rsid w:val="006B38BE"/>
    <w:rsid w:val="006C6024"/>
    <w:rsid w:val="006D5291"/>
    <w:rsid w:val="006E30ED"/>
    <w:rsid w:val="006E33DF"/>
    <w:rsid w:val="006E48E6"/>
    <w:rsid w:val="006E60A9"/>
    <w:rsid w:val="006F5967"/>
    <w:rsid w:val="006F741C"/>
    <w:rsid w:val="007023CF"/>
    <w:rsid w:val="00710A56"/>
    <w:rsid w:val="007122F7"/>
    <w:rsid w:val="00716957"/>
    <w:rsid w:val="007274E7"/>
    <w:rsid w:val="0076194B"/>
    <w:rsid w:val="0076693D"/>
    <w:rsid w:val="00782098"/>
    <w:rsid w:val="007B6351"/>
    <w:rsid w:val="007C28D2"/>
    <w:rsid w:val="007D41A5"/>
    <w:rsid w:val="007D65ED"/>
    <w:rsid w:val="007E6958"/>
    <w:rsid w:val="007E6C16"/>
    <w:rsid w:val="007E7625"/>
    <w:rsid w:val="007F59DF"/>
    <w:rsid w:val="00800CB6"/>
    <w:rsid w:val="00802611"/>
    <w:rsid w:val="00803E72"/>
    <w:rsid w:val="0081054C"/>
    <w:rsid w:val="0081066F"/>
    <w:rsid w:val="0083472D"/>
    <w:rsid w:val="00835197"/>
    <w:rsid w:val="00835C35"/>
    <w:rsid w:val="00863EB5"/>
    <w:rsid w:val="00865E72"/>
    <w:rsid w:val="00877D76"/>
    <w:rsid w:val="00880FED"/>
    <w:rsid w:val="00893838"/>
    <w:rsid w:val="008D1232"/>
    <w:rsid w:val="008E0767"/>
    <w:rsid w:val="008F494B"/>
    <w:rsid w:val="00905FDE"/>
    <w:rsid w:val="00907516"/>
    <w:rsid w:val="009171D6"/>
    <w:rsid w:val="0093225A"/>
    <w:rsid w:val="00936F6F"/>
    <w:rsid w:val="0093742C"/>
    <w:rsid w:val="00941F2C"/>
    <w:rsid w:val="00944B21"/>
    <w:rsid w:val="00964685"/>
    <w:rsid w:val="0096525D"/>
    <w:rsid w:val="00991E50"/>
    <w:rsid w:val="00995F84"/>
    <w:rsid w:val="009A6FA8"/>
    <w:rsid w:val="009B7D70"/>
    <w:rsid w:val="009C7437"/>
    <w:rsid w:val="009D7DDA"/>
    <w:rsid w:val="009E69BB"/>
    <w:rsid w:val="00A162D8"/>
    <w:rsid w:val="00A2578E"/>
    <w:rsid w:val="00A30ADC"/>
    <w:rsid w:val="00A52987"/>
    <w:rsid w:val="00A607BA"/>
    <w:rsid w:val="00A703C2"/>
    <w:rsid w:val="00AA676A"/>
    <w:rsid w:val="00AB5564"/>
    <w:rsid w:val="00AC4A79"/>
    <w:rsid w:val="00AC4F2D"/>
    <w:rsid w:val="00AC7905"/>
    <w:rsid w:val="00AE438F"/>
    <w:rsid w:val="00AE5974"/>
    <w:rsid w:val="00AE6AF6"/>
    <w:rsid w:val="00AF45B6"/>
    <w:rsid w:val="00AF623D"/>
    <w:rsid w:val="00AF7030"/>
    <w:rsid w:val="00B13DE8"/>
    <w:rsid w:val="00B14B10"/>
    <w:rsid w:val="00B23C7E"/>
    <w:rsid w:val="00B25085"/>
    <w:rsid w:val="00B30C1E"/>
    <w:rsid w:val="00B33953"/>
    <w:rsid w:val="00B37BAF"/>
    <w:rsid w:val="00B37F9E"/>
    <w:rsid w:val="00B41413"/>
    <w:rsid w:val="00B54D86"/>
    <w:rsid w:val="00B76377"/>
    <w:rsid w:val="00B825DB"/>
    <w:rsid w:val="00B872E0"/>
    <w:rsid w:val="00B90789"/>
    <w:rsid w:val="00BA3A3C"/>
    <w:rsid w:val="00BA7683"/>
    <w:rsid w:val="00BA7898"/>
    <w:rsid w:val="00BB47A3"/>
    <w:rsid w:val="00BB5A1D"/>
    <w:rsid w:val="00BF0A8C"/>
    <w:rsid w:val="00BF1D76"/>
    <w:rsid w:val="00BF41C5"/>
    <w:rsid w:val="00C14D43"/>
    <w:rsid w:val="00C24B34"/>
    <w:rsid w:val="00C32417"/>
    <w:rsid w:val="00C32A64"/>
    <w:rsid w:val="00C32AA1"/>
    <w:rsid w:val="00C33AE6"/>
    <w:rsid w:val="00C40904"/>
    <w:rsid w:val="00C60F61"/>
    <w:rsid w:val="00C71C4F"/>
    <w:rsid w:val="00C724B4"/>
    <w:rsid w:val="00C77780"/>
    <w:rsid w:val="00C856D1"/>
    <w:rsid w:val="00C91B50"/>
    <w:rsid w:val="00C94D34"/>
    <w:rsid w:val="00CC1B6E"/>
    <w:rsid w:val="00CC2230"/>
    <w:rsid w:val="00CC26B5"/>
    <w:rsid w:val="00CC4B26"/>
    <w:rsid w:val="00CC61B5"/>
    <w:rsid w:val="00CD3F98"/>
    <w:rsid w:val="00CD4EC7"/>
    <w:rsid w:val="00CD546D"/>
    <w:rsid w:val="00CE08D9"/>
    <w:rsid w:val="00CE4E97"/>
    <w:rsid w:val="00CF6F21"/>
    <w:rsid w:val="00D10A52"/>
    <w:rsid w:val="00D11374"/>
    <w:rsid w:val="00D114EB"/>
    <w:rsid w:val="00D120F2"/>
    <w:rsid w:val="00D122B0"/>
    <w:rsid w:val="00D20190"/>
    <w:rsid w:val="00D23489"/>
    <w:rsid w:val="00D37E13"/>
    <w:rsid w:val="00D74EB4"/>
    <w:rsid w:val="00DB5DCA"/>
    <w:rsid w:val="00DB74B8"/>
    <w:rsid w:val="00DC2052"/>
    <w:rsid w:val="00DD4B15"/>
    <w:rsid w:val="00E07857"/>
    <w:rsid w:val="00E13AB7"/>
    <w:rsid w:val="00E15D21"/>
    <w:rsid w:val="00E1759C"/>
    <w:rsid w:val="00E239C0"/>
    <w:rsid w:val="00E27019"/>
    <w:rsid w:val="00E30980"/>
    <w:rsid w:val="00E4224C"/>
    <w:rsid w:val="00E42635"/>
    <w:rsid w:val="00E46556"/>
    <w:rsid w:val="00E47A30"/>
    <w:rsid w:val="00E7641C"/>
    <w:rsid w:val="00E76E5C"/>
    <w:rsid w:val="00E86B58"/>
    <w:rsid w:val="00EA3282"/>
    <w:rsid w:val="00EA7C45"/>
    <w:rsid w:val="00EC0EFF"/>
    <w:rsid w:val="00ED283B"/>
    <w:rsid w:val="00ED4531"/>
    <w:rsid w:val="00ED5DF6"/>
    <w:rsid w:val="00EF3C78"/>
    <w:rsid w:val="00F17037"/>
    <w:rsid w:val="00F37DB1"/>
    <w:rsid w:val="00F42B34"/>
    <w:rsid w:val="00F46D7A"/>
    <w:rsid w:val="00F513B0"/>
    <w:rsid w:val="00F57F1C"/>
    <w:rsid w:val="00F62A21"/>
    <w:rsid w:val="00F74C85"/>
    <w:rsid w:val="00F845B8"/>
    <w:rsid w:val="00F872BC"/>
    <w:rsid w:val="00F93D09"/>
    <w:rsid w:val="00FA5836"/>
    <w:rsid w:val="00FC7039"/>
    <w:rsid w:val="00FE0A05"/>
    <w:rsid w:val="00FE1719"/>
    <w:rsid w:val="00FE5424"/>
    <w:rsid w:val="00FF62F2"/>
    <w:rsid w:val="7BEEC8D8"/>
    <w:rsid w:val="7EFBEA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108C8"/>
  <w15:docId w15:val="{1424911B-917D-476B-A5DC-4DE3511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Pr>
      <w:sz w:val="20"/>
      <w:szCs w:val="20"/>
    </w:rPr>
  </w:style>
  <w:style w:type="paragraph" w:styleId="a5">
    <w:name w:val="Body Text"/>
    <w:basedOn w:val="a"/>
    <w:link w:val="a6"/>
    <w:pPr>
      <w:widowControl/>
      <w:spacing w:after="240"/>
    </w:pPr>
    <w:rPr>
      <w:rFonts w:ascii="Times New Roman" w:hAnsi="Times New Roman" w:cs="Simplified Arabic"/>
      <w:kern w:val="0"/>
      <w:sz w:val="24"/>
      <w:szCs w:val="24"/>
      <w:lang w:val="en-GB" w:eastAsia="en-GB" w:bidi="ar-AE"/>
    </w:rPr>
  </w:style>
  <w:style w:type="paragraph" w:styleId="a7">
    <w:name w:val="endnote text"/>
    <w:basedOn w:val="a"/>
    <w:link w:val="a8"/>
    <w:uiPriority w:val="99"/>
    <w:semiHidden/>
    <w:unhideWhenUsed/>
    <w:pPr>
      <w:snapToGrid w:val="0"/>
      <w:jc w:val="left"/>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uiPriority w:val="99"/>
    <w:semiHidden/>
    <w:unhideWhenUsed/>
    <w:rPr>
      <w:sz w:val="20"/>
      <w:szCs w:val="20"/>
    </w:rPr>
  </w:style>
  <w:style w:type="paragraph" w:styleId="af1">
    <w:name w:val="annotation subject"/>
    <w:basedOn w:val="a3"/>
    <w:next w:val="a3"/>
    <w:link w:val="af2"/>
    <w:uiPriority w:val="99"/>
    <w:semiHidden/>
    <w:unhideWhenUsed/>
    <w:rPr>
      <w:b/>
      <w:bCs/>
    </w:rPr>
  </w:style>
  <w:style w:type="table" w:styleId="af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semiHidden/>
    <w:qFormat/>
    <w:rPr>
      <w:b/>
      <w:bCs/>
    </w:rPr>
  </w:style>
  <w:style w:type="character" w:styleId="af5">
    <w:name w:val="endnote reference"/>
    <w:uiPriority w:val="99"/>
    <w:semiHidden/>
    <w:unhideWhenUsed/>
    <w:rPr>
      <w:vertAlign w:val="superscript"/>
    </w:rPr>
  </w:style>
  <w:style w:type="character" w:styleId="af6">
    <w:name w:val="Emphasis"/>
    <w:basedOn w:val="a0"/>
    <w:uiPriority w:val="20"/>
    <w:semiHidden/>
    <w:qFormat/>
    <w:rPr>
      <w:i/>
      <w:iCs/>
    </w:rPr>
  </w:style>
  <w:style w:type="character" w:styleId="af7">
    <w:name w:val="Hyperlink"/>
    <w:basedOn w:val="a0"/>
    <w:uiPriority w:val="99"/>
    <w:unhideWhenUsed/>
    <w:rPr>
      <w:color w:val="0563C1" w:themeColor="hyperlink"/>
      <w:u w:val="single"/>
    </w:rPr>
  </w:style>
  <w:style w:type="character" w:styleId="af8">
    <w:name w:val="annotation reference"/>
    <w:basedOn w:val="a0"/>
    <w:uiPriority w:val="99"/>
    <w:unhideWhenUsed/>
    <w:rPr>
      <w:sz w:val="21"/>
      <w:szCs w:val="21"/>
    </w:rPr>
  </w:style>
  <w:style w:type="character" w:styleId="af9">
    <w:name w:val="footnote reference"/>
    <w:basedOn w:val="a0"/>
    <w:uiPriority w:val="99"/>
    <w:semiHidden/>
    <w:unhideWhenUsed/>
    <w:rPr>
      <w:vertAlign w:val="superscript"/>
    </w:rPr>
  </w:style>
  <w:style w:type="character" w:customStyle="1" w:styleId="a8">
    <w:name w:val="尾注文本 字符"/>
    <w:basedOn w:val="a0"/>
    <w:link w:val="a7"/>
    <w:uiPriority w:val="99"/>
    <w:semiHidden/>
  </w:style>
  <w:style w:type="character" w:customStyle="1" w:styleId="ae">
    <w:name w:val="页眉 字符"/>
    <w:link w:val="ad"/>
    <w:uiPriority w:val="99"/>
    <w:rPr>
      <w:sz w:val="18"/>
      <w:szCs w:val="18"/>
    </w:rPr>
  </w:style>
  <w:style w:type="character" w:customStyle="1" w:styleId="ac">
    <w:name w:val="页脚 字符"/>
    <w:link w:val="ab"/>
    <w:uiPriority w:val="99"/>
    <w:rPr>
      <w:sz w:val="18"/>
      <w:szCs w:val="18"/>
    </w:rPr>
  </w:style>
  <w:style w:type="character" w:customStyle="1" w:styleId="aa">
    <w:name w:val="批注框文本 字符"/>
    <w:basedOn w:val="a0"/>
    <w:link w:val="a9"/>
    <w:uiPriority w:val="99"/>
    <w:semiHidden/>
    <w:rPr>
      <w:kern w:val="2"/>
      <w:sz w:val="18"/>
      <w:szCs w:val="18"/>
    </w:rPr>
  </w:style>
  <w:style w:type="paragraph" w:customStyle="1" w:styleId="1">
    <w:name w:val="修订1"/>
    <w:hidden/>
    <w:uiPriority w:val="99"/>
    <w:unhideWhenUsed/>
    <w:rPr>
      <w:rFonts w:ascii="Calibri" w:hAnsi="Calibri"/>
      <w:kern w:val="2"/>
      <w:sz w:val="21"/>
      <w:szCs w:val="22"/>
    </w:rPr>
  </w:style>
  <w:style w:type="character" w:customStyle="1" w:styleId="a4">
    <w:name w:val="批注文字 字符"/>
    <w:basedOn w:val="a0"/>
    <w:link w:val="a3"/>
    <w:uiPriority w:val="99"/>
    <w:rPr>
      <w:kern w:val="2"/>
    </w:rPr>
  </w:style>
  <w:style w:type="character" w:customStyle="1" w:styleId="af2">
    <w:name w:val="批注主题 字符"/>
    <w:basedOn w:val="a4"/>
    <w:link w:val="af1"/>
    <w:uiPriority w:val="99"/>
    <w:semiHidden/>
    <w:rPr>
      <w:b/>
      <w:bCs/>
      <w:kern w:val="2"/>
    </w:rPr>
  </w:style>
  <w:style w:type="character" w:customStyle="1" w:styleId="10">
    <w:name w:val="不明显强调1"/>
    <w:basedOn w:val="a0"/>
    <w:uiPriority w:val="19"/>
    <w:semiHidden/>
    <w:qFormat/>
    <w:rPr>
      <w:i/>
      <w:iCs/>
      <w:color w:val="404040" w:themeColor="text1" w:themeTint="BF"/>
    </w:rPr>
  </w:style>
  <w:style w:type="character" w:customStyle="1" w:styleId="11">
    <w:name w:val="明显强调1"/>
    <w:basedOn w:val="a0"/>
    <w:uiPriority w:val="21"/>
    <w:semiHidden/>
    <w:qFormat/>
    <w:rPr>
      <w:i/>
      <w:iCs/>
      <w:color w:val="5B9BD5" w:themeColor="accent1"/>
    </w:rPr>
  </w:style>
  <w:style w:type="paragraph" w:styleId="afa">
    <w:name w:val="Quote"/>
    <w:basedOn w:val="a"/>
    <w:next w:val="a"/>
    <w:link w:val="afb"/>
    <w:uiPriority w:val="99"/>
    <w:semiHidden/>
    <w:unhideWhenUsed/>
    <w:pPr>
      <w:spacing w:before="200" w:after="160"/>
      <w:ind w:left="864" w:right="864"/>
      <w:jc w:val="center"/>
    </w:pPr>
    <w:rPr>
      <w:i/>
      <w:iCs/>
      <w:color w:val="404040" w:themeColor="text1" w:themeTint="BF"/>
    </w:rPr>
  </w:style>
  <w:style w:type="character" w:customStyle="1" w:styleId="afb">
    <w:name w:val="引用 字符"/>
    <w:basedOn w:val="a0"/>
    <w:link w:val="afa"/>
    <w:uiPriority w:val="99"/>
    <w:semiHidden/>
    <w:rPr>
      <w:i/>
      <w:iCs/>
      <w:color w:val="404040" w:themeColor="text1" w:themeTint="BF"/>
      <w:kern w:val="2"/>
      <w:sz w:val="21"/>
      <w:szCs w:val="22"/>
    </w:rPr>
  </w:style>
  <w:style w:type="paragraph" w:styleId="afc">
    <w:name w:val="Intense Quote"/>
    <w:basedOn w:val="a"/>
    <w:next w:val="a"/>
    <w:link w:val="afd"/>
    <w:uiPriority w:val="99"/>
    <w:semiHidden/>
    <w:unhideWhenUsed/>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d">
    <w:name w:val="明显引用 字符"/>
    <w:basedOn w:val="a0"/>
    <w:link w:val="afc"/>
    <w:uiPriority w:val="99"/>
    <w:semiHidden/>
    <w:rPr>
      <w:i/>
      <w:iCs/>
      <w:color w:val="5B9BD5" w:themeColor="accent1"/>
      <w:kern w:val="2"/>
      <w:sz w:val="21"/>
      <w:szCs w:val="22"/>
    </w:rPr>
  </w:style>
  <w:style w:type="character" w:customStyle="1" w:styleId="12">
    <w:name w:val="不明显参考1"/>
    <w:basedOn w:val="a0"/>
    <w:uiPriority w:val="31"/>
    <w:semiHidden/>
    <w:qFormat/>
    <w:rPr>
      <w:smallCaps/>
      <w:color w:val="595959" w:themeColor="text1" w:themeTint="A6"/>
    </w:rPr>
  </w:style>
  <w:style w:type="character" w:customStyle="1" w:styleId="13">
    <w:name w:val="明显参考1"/>
    <w:basedOn w:val="a0"/>
    <w:uiPriority w:val="32"/>
    <w:semiHidden/>
    <w:qFormat/>
    <w:rPr>
      <w:b/>
      <w:bCs/>
      <w:smallCaps/>
      <w:color w:val="5B9BD5" w:themeColor="accent1"/>
      <w:spacing w:val="5"/>
    </w:rPr>
  </w:style>
  <w:style w:type="character" w:customStyle="1" w:styleId="14">
    <w:name w:val="书籍标题1"/>
    <w:basedOn w:val="a0"/>
    <w:uiPriority w:val="33"/>
    <w:semiHidden/>
    <w:qFormat/>
    <w:rPr>
      <w:b/>
      <w:bCs/>
      <w:i/>
      <w:iCs/>
      <w:spacing w:val="5"/>
    </w:rPr>
  </w:style>
  <w:style w:type="paragraph" w:styleId="afe">
    <w:name w:val="List Paragraph"/>
    <w:basedOn w:val="a"/>
    <w:uiPriority w:val="99"/>
    <w:semiHidden/>
    <w:unhideWhenUsed/>
    <w:pPr>
      <w:ind w:left="720"/>
      <w:contextualSpacing/>
    </w:pPr>
  </w:style>
  <w:style w:type="character" w:customStyle="1" w:styleId="af0">
    <w:name w:val="脚注文本 字符"/>
    <w:basedOn w:val="a0"/>
    <w:link w:val="af"/>
    <w:uiPriority w:val="99"/>
    <w:semiHidden/>
    <w:rPr>
      <w:kern w:val="2"/>
    </w:rPr>
  </w:style>
  <w:style w:type="character" w:customStyle="1" w:styleId="a6">
    <w:name w:val="正文文本 字符"/>
    <w:basedOn w:val="a0"/>
    <w:link w:val="a5"/>
    <w:rPr>
      <w:rFonts w:ascii="Times New Roman" w:hAnsi="Times New Roman" w:cs="Simplified Arabic"/>
      <w:sz w:val="24"/>
      <w:szCs w:val="24"/>
      <w:lang w:val="en-GB" w:eastAsia="en-GB" w:bidi="ar-AE"/>
    </w:rPr>
  </w:style>
  <w:style w:type="character" w:customStyle="1" w:styleId="15">
    <w:name w:val="未处理的提及1"/>
    <w:basedOn w:val="a0"/>
    <w:uiPriority w:val="99"/>
    <w:semiHidden/>
    <w:unhideWhenUsed/>
    <w:rPr>
      <w:color w:val="605E5C"/>
      <w:shd w:val="clear" w:color="auto" w:fill="E1DFDD"/>
    </w:rPr>
  </w:style>
  <w:style w:type="paragraph" w:customStyle="1" w:styleId="2">
    <w:name w:val="修订2"/>
    <w:hidden/>
    <w:uiPriority w:val="99"/>
    <w:unhideWhenUsed/>
    <w:rPr>
      <w:rFonts w:ascii="Calibri" w:hAnsi="Calibri"/>
      <w:kern w:val="2"/>
      <w:sz w:val="21"/>
      <w:szCs w:val="22"/>
    </w:rPr>
  </w:style>
  <w:style w:type="paragraph" w:styleId="aff">
    <w:name w:val="Revision"/>
    <w:hidden/>
    <w:uiPriority w:val="99"/>
    <w:unhideWhenUsed/>
    <w:rsid w:val="00195AF9"/>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dell</dc:creator>
  <cp:lastModifiedBy>Fangda</cp:lastModifiedBy>
  <cp:revision>4</cp:revision>
  <dcterms:created xsi:type="dcterms:W3CDTF">2025-07-23T03:34:00Z</dcterms:created>
  <dcterms:modified xsi:type="dcterms:W3CDTF">2025-07-24T06:50:00Z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DPWPathText">
    <vt:lpwstr>#97717177v5</vt:lpwstr>
  </property>
  <property fmtid="{D5CDD505-2E9C-101B-9397-08002B2CF9AE}" pid="4" name="NRT_DocNumber">
    <vt:lpwstr/>
  </property>
  <property fmtid="{D5CDD505-2E9C-101B-9397-08002B2CF9AE}" pid="5" name="NRT_DocVersion">
    <vt:lpwstr/>
  </property>
  <property fmtid="{D5CDD505-2E9C-101B-9397-08002B2CF9AE}" pid="6" name="NRT_DocName">
    <vt:lpwstr/>
  </property>
  <property fmtid="{D5CDD505-2E9C-101B-9397-08002B2CF9AE}" pid="7" name="NRT_AuthorDescription">
    <vt:lpwstr/>
  </property>
  <property fmtid="{D5CDD505-2E9C-101B-9397-08002B2CF9AE}" pid="8" name="NRT_Author">
    <vt:lpwstr/>
  </property>
  <property fmtid="{D5CDD505-2E9C-101B-9397-08002B2CF9AE}" pid="9" name="NRT_Operator">
    <vt:lpwstr/>
  </property>
  <property fmtid="{D5CDD505-2E9C-101B-9397-08002B2CF9AE}" pid="10" name="NRT_Database">
    <vt:lpwstr/>
  </property>
  <property fmtid="{D5CDD505-2E9C-101B-9397-08002B2CF9AE}" pid="11" name="NRT_ELITE_CLIENT">
    <vt:lpwstr/>
  </property>
  <property fmtid="{D5CDD505-2E9C-101B-9397-08002B2CF9AE}" pid="12" name="NRT_ELITE_MATTER">
    <vt:lpwstr/>
  </property>
  <property fmtid="{D5CDD505-2E9C-101B-9397-08002B2CF9AE}" pid="13" name="pDocRef">
    <vt:lpwstr/>
  </property>
  <property fmtid="{D5CDD505-2E9C-101B-9397-08002B2CF9AE}" pid="14" name="pDocNumber">
    <vt:lpwstr/>
  </property>
</Properties>
</file>