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DA43D">
      <w:pPr>
        <w:widowControl/>
        <w:spacing w:after="240"/>
        <w:jc w:val="center"/>
        <w:rPr>
          <w:rFonts w:hint="default" w:ascii="Times New Roman" w:hAnsi="Times New Roman" w:eastAsia="方正小标宋简体" w:cs="Times New Roman"/>
          <w:bCs/>
          <w:kern w:val="0"/>
          <w:sz w:val="44"/>
          <w:szCs w:val="44"/>
          <w:lang w:val="en-GB" w:bidi="ar-AE"/>
        </w:rPr>
      </w:pPr>
      <w:bookmarkStart w:id="0" w:name="_GoBack"/>
      <w:r>
        <w:rPr>
          <w:rFonts w:hint="default" w:ascii="Times New Roman" w:hAnsi="Times New Roman" w:eastAsia="方正小标宋简体" w:cs="Times New Roman"/>
          <w:bCs/>
          <w:kern w:val="0"/>
          <w:sz w:val="44"/>
          <w:szCs w:val="44"/>
          <w:lang w:val="en-GB" w:bidi="ar-AE"/>
        </w:rPr>
        <w:t>经营者集中简易案件公示表</w:t>
      </w:r>
    </w:p>
    <w:bookmarkEnd w:id="0"/>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607"/>
        <w:gridCol w:w="6093"/>
      </w:tblGrid>
      <w:tr w14:paraId="6848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40" w:type="dxa"/>
            <w:shd w:val="clear" w:color="auto" w:fill="auto"/>
            <w:vAlign w:val="center"/>
          </w:tcPr>
          <w:p w14:paraId="2F4540C6">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r>
              <w:rPr>
                <w:rFonts w:hint="eastAsia" w:cs="宋体"/>
                <w:bCs/>
                <w:color w:val="000000"/>
                <w:sz w:val="24"/>
                <w:szCs w:val="24"/>
              </w:rPr>
              <w:t>案件名称</w:t>
            </w:r>
          </w:p>
        </w:tc>
        <w:tc>
          <w:tcPr>
            <w:tcW w:w="7700" w:type="dxa"/>
            <w:gridSpan w:val="2"/>
            <w:vAlign w:val="center"/>
          </w:tcPr>
          <w:p w14:paraId="759E5C87">
            <w:pPr>
              <w:keepNext w:val="0"/>
              <w:keepLines w:val="0"/>
              <w:suppressLineNumbers w:val="0"/>
              <w:adjustRightInd w:val="0"/>
              <w:snapToGrid w:val="0"/>
              <w:spacing w:before="0" w:beforeAutospacing="0" w:after="0" w:afterAutospacing="0"/>
              <w:ind w:left="0" w:right="0"/>
              <w:rPr>
                <w:rFonts w:hint="default" w:cs="宋体"/>
                <w:bCs/>
                <w:color w:val="000000"/>
                <w:sz w:val="24"/>
                <w:szCs w:val="24"/>
              </w:rPr>
            </w:pPr>
            <w:r>
              <w:rPr>
                <w:rFonts w:hint="eastAsia"/>
                <w:sz w:val="24"/>
              </w:rPr>
              <w:t>KKR公司收购思百吉公司股权案</w:t>
            </w:r>
          </w:p>
        </w:tc>
      </w:tr>
      <w:tr w14:paraId="5B08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940" w:type="dxa"/>
            <w:shd w:val="clear" w:color="auto" w:fill="auto"/>
            <w:vAlign w:val="center"/>
          </w:tcPr>
          <w:p w14:paraId="41F3B8E7">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r>
              <w:rPr>
                <w:rFonts w:hint="eastAsia" w:cs="宋体"/>
                <w:bCs/>
                <w:color w:val="000000"/>
                <w:sz w:val="24"/>
                <w:szCs w:val="24"/>
              </w:rPr>
              <w:t>交易概况（限200字内）</w:t>
            </w:r>
          </w:p>
        </w:tc>
        <w:tc>
          <w:tcPr>
            <w:tcW w:w="7700" w:type="dxa"/>
            <w:gridSpan w:val="2"/>
            <w:vAlign w:val="center"/>
          </w:tcPr>
          <w:p w14:paraId="1BB1F511">
            <w:pPr>
              <w:keepNext w:val="0"/>
              <w:keepLines w:val="0"/>
              <w:suppressLineNumbers w:val="0"/>
              <w:adjustRightInd w:val="0"/>
              <w:snapToGrid w:val="0"/>
              <w:spacing w:before="0" w:beforeAutospacing="0" w:after="0" w:afterAutospacing="0"/>
              <w:ind w:left="0" w:right="0"/>
              <w:jc w:val="both"/>
              <w:rPr>
                <w:rFonts w:hint="default" w:cs="宋体"/>
                <w:sz w:val="24"/>
                <w:szCs w:val="24"/>
              </w:rPr>
            </w:pPr>
            <w:r>
              <w:rPr>
                <w:rFonts w:hint="eastAsia"/>
                <w:sz w:val="24"/>
              </w:rPr>
              <w:t>KKR公司（与其子公司合称“</w:t>
            </w:r>
            <w:r>
              <w:rPr>
                <w:rFonts w:hint="eastAsia"/>
                <w:b/>
                <w:bCs/>
                <w:sz w:val="24"/>
              </w:rPr>
              <w:t>KKR</w:t>
            </w:r>
            <w:r>
              <w:rPr>
                <w:rFonts w:hint="eastAsia"/>
                <w:sz w:val="24"/>
              </w:rPr>
              <w:t>”）将通过其关联实体收购思百吉</w:t>
            </w:r>
            <w:r>
              <w:rPr>
                <w:rFonts w:hint="eastAsia"/>
                <w:sz w:val="24"/>
                <w:lang w:eastAsia="zh-CN"/>
              </w:rPr>
              <w:t>公司（“</w:t>
            </w:r>
            <w:r>
              <w:rPr>
                <w:rFonts w:hint="eastAsia"/>
                <w:b/>
                <w:bCs/>
                <w:sz w:val="24"/>
                <w:lang w:eastAsia="zh-CN"/>
              </w:rPr>
              <w:t>思百吉</w:t>
            </w:r>
            <w:r>
              <w:rPr>
                <w:rFonts w:hint="eastAsia"/>
                <w:sz w:val="24"/>
                <w:lang w:eastAsia="zh-CN"/>
              </w:rPr>
              <w:t>”）</w:t>
            </w:r>
            <w:r>
              <w:rPr>
                <w:rFonts w:hint="eastAsia"/>
                <w:sz w:val="24"/>
              </w:rPr>
              <w:t>全部已发行及即将发行的普通股的最高100%股权（“</w:t>
            </w:r>
            <w:r>
              <w:rPr>
                <w:rFonts w:hint="eastAsia"/>
                <w:b/>
                <w:bCs/>
                <w:sz w:val="24"/>
              </w:rPr>
              <w:t>本次交易</w:t>
            </w:r>
            <w:r>
              <w:rPr>
                <w:rFonts w:hint="eastAsia"/>
                <w:sz w:val="24"/>
              </w:rPr>
              <w:t>”）。思百吉是一家精密仪器与控制系统的供应商。本次交易前，思百吉的股权结构较为分散，没有任何个人或实体控制思百吉。本次交易后，KKR公司将单独控制思百吉。</w:t>
            </w:r>
          </w:p>
        </w:tc>
      </w:tr>
      <w:tr w14:paraId="51AB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940" w:type="dxa"/>
            <w:vMerge w:val="restart"/>
            <w:shd w:val="clear" w:color="auto" w:fill="auto"/>
            <w:vAlign w:val="center"/>
          </w:tcPr>
          <w:p w14:paraId="0549D399">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r>
              <w:rPr>
                <w:rFonts w:hint="default" w:cs="宋体"/>
                <w:bCs/>
                <w:color w:val="000000"/>
                <w:sz w:val="24"/>
              </w:rPr>
              <w:t>参与集中的经营者简介（每个限100字以内）</w:t>
            </w:r>
          </w:p>
        </w:tc>
        <w:tc>
          <w:tcPr>
            <w:tcW w:w="1607" w:type="dxa"/>
            <w:vAlign w:val="center"/>
          </w:tcPr>
          <w:p w14:paraId="27B37EA6">
            <w:pPr>
              <w:pStyle w:val="3"/>
              <w:keepNext w:val="0"/>
              <w:keepLines w:val="0"/>
              <w:suppressLineNumbers w:val="0"/>
              <w:adjustRightInd w:val="0"/>
              <w:snapToGrid w:val="0"/>
              <w:spacing w:before="0" w:beforeAutospacing="0" w:after="0" w:afterAutospacing="0"/>
              <w:ind w:left="0" w:right="0"/>
              <w:rPr>
                <w:rFonts w:hint="default" w:eastAsia="宋体" w:cs="宋体"/>
                <w:bCs/>
                <w:color w:val="000000"/>
                <w:sz w:val="24"/>
                <w:szCs w:val="24"/>
                <w:lang w:val="en-US" w:eastAsia="zh-CN"/>
              </w:rPr>
            </w:pPr>
            <w:r>
              <w:rPr>
                <w:rFonts w:hint="eastAsia" w:cs="宋体"/>
                <w:bCs/>
                <w:color w:val="000000"/>
                <w:sz w:val="24"/>
                <w:szCs w:val="24"/>
                <w:lang w:val="en-US" w:eastAsia="zh-CN"/>
              </w:rPr>
              <w:t>1 .</w:t>
            </w:r>
            <w:r>
              <w:rPr>
                <w:rFonts w:hint="eastAsia"/>
                <w:sz w:val="24"/>
                <w:lang w:val="en-US" w:eastAsia="zh-CN"/>
              </w:rPr>
              <w:t>KKR公司</w:t>
            </w:r>
          </w:p>
        </w:tc>
        <w:tc>
          <w:tcPr>
            <w:tcW w:w="6093" w:type="dxa"/>
            <w:vAlign w:val="center"/>
          </w:tcPr>
          <w:p w14:paraId="623A15EB">
            <w:pPr>
              <w:keepNext w:val="0"/>
              <w:keepLines w:val="0"/>
              <w:suppressLineNumbers w:val="0"/>
              <w:adjustRightInd w:val="0"/>
              <w:snapToGrid w:val="0"/>
              <w:spacing w:before="0" w:beforeAutospacing="0" w:after="0" w:afterAutospacing="0"/>
              <w:ind w:left="0" w:right="0"/>
              <w:rPr>
                <w:rFonts w:hint="eastAsia" w:cs="宋体"/>
                <w:bCs/>
                <w:color w:val="000000"/>
                <w:sz w:val="24"/>
              </w:rPr>
            </w:pPr>
            <w:r>
              <w:rPr>
                <w:rFonts w:hint="eastAsia" w:cs="宋体"/>
                <w:bCs/>
                <w:color w:val="000000"/>
                <w:sz w:val="24"/>
              </w:rPr>
              <w:t>KKR公司于1976年作为一家私募股权公司在美国成立。KKR公司在纽约证券交易所上市，主要从事投资业务。</w:t>
            </w:r>
          </w:p>
          <w:p w14:paraId="1B223E1B">
            <w:pPr>
              <w:keepNext w:val="0"/>
              <w:keepLines w:val="0"/>
              <w:suppressLineNumbers w:val="0"/>
              <w:adjustRightInd w:val="0"/>
              <w:snapToGrid w:val="0"/>
              <w:spacing w:before="0" w:beforeAutospacing="0" w:after="0" w:afterAutospacing="0"/>
              <w:ind w:left="0" w:right="0"/>
              <w:rPr>
                <w:rFonts w:hint="eastAsia" w:eastAsia="宋体"/>
                <w:sz w:val="24"/>
                <w:szCs w:val="24"/>
                <w:lang w:eastAsia="zh-CN"/>
              </w:rPr>
            </w:pPr>
            <w:r>
              <w:rPr>
                <w:rFonts w:hint="eastAsia" w:cs="宋体"/>
                <w:bCs/>
                <w:color w:val="000000"/>
                <w:sz w:val="24"/>
              </w:rPr>
              <w:t>KKR的最终控制人为KKR管理有限合伙，是一家控股公司，其关联实体从事投资业务。</w:t>
            </w:r>
          </w:p>
        </w:tc>
      </w:tr>
      <w:tr w14:paraId="01AD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940" w:type="dxa"/>
            <w:vMerge w:val="continue"/>
            <w:shd w:val="clear" w:color="auto" w:fill="auto"/>
            <w:vAlign w:val="center"/>
          </w:tcPr>
          <w:p w14:paraId="661CFA0D">
            <w:pPr>
              <w:pStyle w:val="3"/>
              <w:keepNext w:val="0"/>
              <w:keepLines w:val="0"/>
              <w:suppressLineNumbers w:val="0"/>
              <w:adjustRightInd w:val="0"/>
              <w:snapToGrid w:val="0"/>
              <w:spacing w:before="0" w:beforeAutospacing="0" w:after="0" w:afterAutospacing="0"/>
              <w:ind w:left="0" w:right="0"/>
              <w:rPr>
                <w:rFonts w:hint="default"/>
              </w:rPr>
            </w:pPr>
          </w:p>
        </w:tc>
        <w:tc>
          <w:tcPr>
            <w:tcW w:w="1607" w:type="dxa"/>
            <w:vAlign w:val="center"/>
          </w:tcPr>
          <w:p w14:paraId="274FC93E">
            <w:pPr>
              <w:pStyle w:val="3"/>
              <w:keepNext w:val="0"/>
              <w:keepLines w:val="0"/>
              <w:suppressLineNumbers w:val="0"/>
              <w:adjustRightInd w:val="0"/>
              <w:snapToGrid w:val="0"/>
              <w:spacing w:before="0" w:beforeAutospacing="0" w:after="0" w:afterAutospacing="0"/>
              <w:ind w:left="0" w:right="0"/>
              <w:rPr>
                <w:rFonts w:hint="default" w:eastAsia="宋体" w:cs="宋体"/>
                <w:bCs/>
                <w:color w:val="000000"/>
                <w:sz w:val="24"/>
                <w:szCs w:val="24"/>
                <w:lang w:val="en-US" w:eastAsia="zh-CN"/>
              </w:rPr>
            </w:pPr>
            <w:r>
              <w:rPr>
                <w:rFonts w:hint="eastAsia" w:cs="宋体"/>
                <w:bCs/>
                <w:color w:val="000000"/>
                <w:sz w:val="24"/>
                <w:szCs w:val="24"/>
                <w:lang w:val="en-US" w:eastAsia="zh-CN"/>
              </w:rPr>
              <w:t>2 .</w:t>
            </w:r>
            <w:r>
              <w:rPr>
                <w:rFonts w:hint="eastAsia"/>
                <w:sz w:val="24"/>
                <w:lang w:val="en-US" w:eastAsia="zh-CN"/>
              </w:rPr>
              <w:t>思百吉</w:t>
            </w:r>
          </w:p>
        </w:tc>
        <w:tc>
          <w:tcPr>
            <w:tcW w:w="6093" w:type="dxa"/>
            <w:vAlign w:val="center"/>
          </w:tcPr>
          <w:p w14:paraId="6D6053E5">
            <w:pPr>
              <w:pStyle w:val="3"/>
              <w:keepNext w:val="0"/>
              <w:keepLines w:val="0"/>
              <w:suppressLineNumbers w:val="0"/>
              <w:adjustRightInd w:val="0"/>
              <w:snapToGrid w:val="0"/>
              <w:spacing w:before="0" w:beforeAutospacing="0" w:after="0" w:afterAutospacing="0"/>
              <w:ind w:left="0" w:right="0"/>
              <w:rPr>
                <w:rFonts w:hint="eastAsia" w:cs="宋体"/>
                <w:bCs/>
                <w:color w:val="000000"/>
                <w:sz w:val="24"/>
              </w:rPr>
            </w:pPr>
            <w:r>
              <w:rPr>
                <w:rFonts w:hint="eastAsia" w:cs="宋体"/>
                <w:bCs/>
                <w:color w:val="000000"/>
                <w:sz w:val="24"/>
              </w:rPr>
              <w:t>思百吉于1986年6月4日在英国设立。思百吉公司是一家伦敦证券交易所的上市公司，在全球范围内从事分析仪器及电子测试与测量仪器的制造与供应业务。</w:t>
            </w:r>
          </w:p>
          <w:p w14:paraId="68D64F9C">
            <w:pPr>
              <w:pStyle w:val="3"/>
              <w:keepNext w:val="0"/>
              <w:keepLines w:val="0"/>
              <w:suppressLineNumbers w:val="0"/>
              <w:adjustRightInd w:val="0"/>
              <w:snapToGrid w:val="0"/>
              <w:spacing w:before="0" w:beforeAutospacing="0" w:after="0" w:afterAutospacing="0"/>
              <w:ind w:left="0" w:right="0"/>
              <w:rPr>
                <w:rFonts w:hint="eastAsia" w:cs="宋体"/>
                <w:bCs/>
                <w:color w:val="000000"/>
                <w:sz w:val="24"/>
                <w:szCs w:val="24"/>
              </w:rPr>
            </w:pPr>
            <w:r>
              <w:rPr>
                <w:rFonts w:hint="eastAsia" w:cs="宋体"/>
                <w:bCs/>
                <w:color w:val="000000"/>
                <w:sz w:val="24"/>
              </w:rPr>
              <w:t>思百吉无最终控制人。</w:t>
            </w:r>
          </w:p>
        </w:tc>
      </w:tr>
      <w:tr w14:paraId="08CB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40" w:type="dxa"/>
            <w:vMerge w:val="restart"/>
            <w:shd w:val="clear" w:color="auto" w:fill="auto"/>
            <w:vAlign w:val="center"/>
          </w:tcPr>
          <w:p w14:paraId="001FE84D">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r>
              <w:rPr>
                <w:rFonts w:hint="eastAsia" w:cs="宋体"/>
                <w:bCs/>
                <w:color w:val="000000"/>
                <w:sz w:val="24"/>
                <w:szCs w:val="24"/>
              </w:rPr>
              <w:t>简易案件理由（可以单选，也可以多选）</w:t>
            </w:r>
          </w:p>
        </w:tc>
        <w:tc>
          <w:tcPr>
            <w:tcW w:w="7700" w:type="dxa"/>
            <w:gridSpan w:val="2"/>
            <w:vAlign w:val="center"/>
          </w:tcPr>
          <w:p w14:paraId="34D89E62">
            <w:pPr>
              <w:pStyle w:val="3"/>
              <w:keepNext w:val="0"/>
              <w:keepLines w:val="0"/>
              <w:suppressLineNumbers w:val="0"/>
              <w:adjustRightInd w:val="0"/>
              <w:snapToGrid w:val="0"/>
              <w:spacing w:before="0" w:beforeAutospacing="0" w:after="0" w:afterAutospacing="0"/>
              <w:ind w:left="0" w:right="0"/>
              <w:rPr>
                <w:rFonts w:hint="default" w:cs="宋体"/>
                <w:bCs/>
                <w:color w:val="000000"/>
                <w:sz w:val="24"/>
                <w:szCs w:val="24"/>
              </w:rPr>
            </w:pPr>
            <w:r>
              <w:rPr>
                <w:rFonts w:hint="eastAsia" w:cs="宋体"/>
                <w:bCs/>
                <w:color w:val="000000"/>
                <w:sz w:val="24"/>
                <w:szCs w:val="24"/>
              </w:rPr>
              <w:sym w:font="Wingdings" w:char="00FE"/>
            </w:r>
            <w:r>
              <w:rPr>
                <w:rFonts w:hint="eastAsia" w:cs="宋体"/>
                <w:bCs/>
                <w:color w:val="000000"/>
                <w:sz w:val="24"/>
                <w:szCs w:val="24"/>
              </w:rPr>
              <w:t xml:space="preserve"> 1、在同一相关市场，所有参与集中的经营者所占市场份额之和小于15%。</w:t>
            </w:r>
          </w:p>
        </w:tc>
      </w:tr>
      <w:tr w14:paraId="484B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40" w:type="dxa"/>
            <w:vMerge w:val="continue"/>
            <w:shd w:val="clear" w:color="auto" w:fill="auto"/>
            <w:vAlign w:val="center"/>
          </w:tcPr>
          <w:p w14:paraId="702029B6">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p>
        </w:tc>
        <w:tc>
          <w:tcPr>
            <w:tcW w:w="7700" w:type="dxa"/>
            <w:gridSpan w:val="2"/>
            <w:vAlign w:val="center"/>
          </w:tcPr>
          <w:p w14:paraId="7B50D8DA">
            <w:pPr>
              <w:pStyle w:val="3"/>
              <w:keepNext w:val="0"/>
              <w:keepLines w:val="0"/>
              <w:suppressLineNumbers w:val="0"/>
              <w:adjustRightInd w:val="0"/>
              <w:snapToGrid w:val="0"/>
              <w:spacing w:before="0" w:beforeAutospacing="0" w:after="0" w:afterAutospacing="0"/>
              <w:ind w:left="0" w:right="0"/>
              <w:rPr>
                <w:rFonts w:hint="default" w:cs="宋体"/>
                <w:bCs/>
                <w:color w:val="000000"/>
                <w:sz w:val="24"/>
                <w:szCs w:val="24"/>
              </w:rPr>
            </w:pPr>
            <w:r>
              <w:rPr>
                <w:rFonts w:hint="eastAsia" w:cs="宋体"/>
                <w:bCs/>
                <w:color w:val="000000"/>
                <w:sz w:val="24"/>
                <w:szCs w:val="24"/>
              </w:rPr>
              <w:sym w:font="Wingdings" w:char="00A8"/>
            </w:r>
            <w:r>
              <w:rPr>
                <w:rFonts w:hint="eastAsia" w:cs="宋体"/>
                <w:bCs/>
                <w:color w:val="000000"/>
                <w:sz w:val="24"/>
                <w:szCs w:val="24"/>
              </w:rPr>
              <w:t xml:space="preserve"> 2、存在上下游关系的参与集中的经营者，在上下游市场所占的市场份额均小于25%。</w:t>
            </w:r>
          </w:p>
        </w:tc>
      </w:tr>
      <w:tr w14:paraId="6083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40" w:type="dxa"/>
            <w:vMerge w:val="continue"/>
            <w:shd w:val="clear" w:color="auto" w:fill="auto"/>
            <w:vAlign w:val="center"/>
          </w:tcPr>
          <w:p w14:paraId="7F77188B">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p>
        </w:tc>
        <w:tc>
          <w:tcPr>
            <w:tcW w:w="7700" w:type="dxa"/>
            <w:gridSpan w:val="2"/>
            <w:vAlign w:val="center"/>
          </w:tcPr>
          <w:p w14:paraId="4A20374E">
            <w:pPr>
              <w:pStyle w:val="3"/>
              <w:keepNext w:val="0"/>
              <w:keepLines w:val="0"/>
              <w:suppressLineNumbers w:val="0"/>
              <w:adjustRightInd w:val="0"/>
              <w:snapToGrid w:val="0"/>
              <w:spacing w:before="0" w:beforeAutospacing="0" w:after="0" w:afterAutospacing="0"/>
              <w:ind w:left="0" w:right="0"/>
              <w:rPr>
                <w:rFonts w:hint="default" w:cs="宋体"/>
                <w:bCs/>
                <w:color w:val="000000"/>
                <w:sz w:val="24"/>
                <w:szCs w:val="24"/>
              </w:rPr>
            </w:pPr>
            <w:r>
              <w:rPr>
                <w:rFonts w:hint="eastAsia" w:cs="宋体"/>
                <w:bCs/>
                <w:color w:val="000000"/>
                <w:sz w:val="24"/>
                <w:szCs w:val="24"/>
              </w:rPr>
              <w:sym w:font="Wingdings" w:char="00A8"/>
            </w:r>
            <w:r>
              <w:rPr>
                <w:rFonts w:hint="eastAsia" w:cs="宋体"/>
                <w:bCs/>
                <w:color w:val="000000"/>
                <w:sz w:val="24"/>
                <w:szCs w:val="24"/>
              </w:rPr>
              <w:t xml:space="preserve"> 3、不在同一相关市场、也不存在上下游关系的参与集中的经营者，在与交易有关的每个市场所占的份额均小于25%。</w:t>
            </w:r>
          </w:p>
        </w:tc>
      </w:tr>
      <w:tr w14:paraId="3E0D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40" w:type="dxa"/>
            <w:vMerge w:val="continue"/>
            <w:shd w:val="clear" w:color="auto" w:fill="auto"/>
            <w:vAlign w:val="center"/>
          </w:tcPr>
          <w:p w14:paraId="58FF5427">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p>
        </w:tc>
        <w:tc>
          <w:tcPr>
            <w:tcW w:w="7700" w:type="dxa"/>
            <w:gridSpan w:val="2"/>
            <w:vAlign w:val="center"/>
          </w:tcPr>
          <w:p w14:paraId="306F4802">
            <w:pPr>
              <w:pStyle w:val="3"/>
              <w:keepNext w:val="0"/>
              <w:keepLines w:val="0"/>
              <w:suppressLineNumbers w:val="0"/>
              <w:adjustRightInd w:val="0"/>
              <w:snapToGrid w:val="0"/>
              <w:spacing w:before="0" w:beforeAutospacing="0" w:after="0" w:afterAutospacing="0"/>
              <w:ind w:left="0" w:right="0"/>
              <w:rPr>
                <w:rFonts w:hint="default" w:cs="宋体"/>
                <w:bCs/>
                <w:color w:val="000000"/>
                <w:sz w:val="24"/>
                <w:szCs w:val="24"/>
              </w:rPr>
            </w:pPr>
            <w:r>
              <w:rPr>
                <w:rFonts w:hint="eastAsia" w:cs="宋体"/>
                <w:bCs/>
                <w:color w:val="000000"/>
                <w:sz w:val="24"/>
                <w:szCs w:val="24"/>
              </w:rPr>
              <w:sym w:font="Wingdings" w:char="00A8"/>
            </w:r>
            <w:r>
              <w:rPr>
                <w:rFonts w:hint="eastAsia" w:cs="宋体"/>
                <w:bCs/>
                <w:color w:val="000000"/>
                <w:sz w:val="24"/>
                <w:szCs w:val="24"/>
              </w:rPr>
              <w:t xml:space="preserve"> 4、参与集中的经营者在中国境外设立合营企业，合营企业不在中国境内从事经济活动。</w:t>
            </w:r>
          </w:p>
        </w:tc>
      </w:tr>
      <w:tr w14:paraId="3391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940" w:type="dxa"/>
            <w:vMerge w:val="continue"/>
            <w:shd w:val="clear" w:color="auto" w:fill="auto"/>
            <w:vAlign w:val="center"/>
          </w:tcPr>
          <w:p w14:paraId="52764E34">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p>
        </w:tc>
        <w:tc>
          <w:tcPr>
            <w:tcW w:w="7700" w:type="dxa"/>
            <w:gridSpan w:val="2"/>
            <w:vAlign w:val="center"/>
          </w:tcPr>
          <w:p w14:paraId="039EE0B9">
            <w:pPr>
              <w:pStyle w:val="3"/>
              <w:keepNext w:val="0"/>
              <w:keepLines w:val="0"/>
              <w:suppressLineNumbers w:val="0"/>
              <w:adjustRightInd w:val="0"/>
              <w:snapToGrid w:val="0"/>
              <w:spacing w:before="0" w:beforeAutospacing="0" w:after="0" w:afterAutospacing="0"/>
              <w:ind w:left="0" w:right="0"/>
              <w:rPr>
                <w:rFonts w:hint="default" w:cs="宋体"/>
                <w:bCs/>
                <w:color w:val="000000"/>
                <w:sz w:val="24"/>
                <w:szCs w:val="24"/>
              </w:rPr>
            </w:pPr>
            <w:r>
              <w:rPr>
                <w:rFonts w:hint="eastAsia" w:cs="宋体"/>
                <w:bCs/>
                <w:color w:val="000000"/>
                <w:sz w:val="24"/>
                <w:szCs w:val="24"/>
              </w:rPr>
              <w:sym w:font="Wingdings" w:char="00A8"/>
            </w:r>
            <w:r>
              <w:rPr>
                <w:rFonts w:hint="eastAsia" w:cs="宋体"/>
                <w:bCs/>
                <w:color w:val="000000"/>
                <w:sz w:val="24"/>
                <w:szCs w:val="24"/>
              </w:rPr>
              <w:t xml:space="preserve"> 5、参与集中的经营者收购境外企业股权或资产的，该境外企业不在中国境内从事经济活动。</w:t>
            </w:r>
          </w:p>
        </w:tc>
      </w:tr>
      <w:tr w14:paraId="6E38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40" w:type="dxa"/>
            <w:vMerge w:val="continue"/>
            <w:shd w:val="clear" w:color="auto" w:fill="auto"/>
            <w:vAlign w:val="center"/>
          </w:tcPr>
          <w:p w14:paraId="1D258C62">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p>
        </w:tc>
        <w:tc>
          <w:tcPr>
            <w:tcW w:w="7700" w:type="dxa"/>
            <w:gridSpan w:val="2"/>
            <w:vAlign w:val="center"/>
          </w:tcPr>
          <w:p w14:paraId="09E2F9AC">
            <w:pPr>
              <w:pStyle w:val="3"/>
              <w:keepNext w:val="0"/>
              <w:keepLines w:val="0"/>
              <w:suppressLineNumbers w:val="0"/>
              <w:adjustRightInd w:val="0"/>
              <w:snapToGrid w:val="0"/>
              <w:spacing w:before="0" w:beforeAutospacing="0" w:after="0" w:afterAutospacing="0"/>
              <w:ind w:left="0" w:right="0"/>
              <w:rPr>
                <w:rFonts w:hint="default" w:cs="宋体"/>
                <w:bCs/>
                <w:color w:val="000000"/>
                <w:sz w:val="24"/>
                <w:szCs w:val="24"/>
              </w:rPr>
            </w:pPr>
            <w:r>
              <w:rPr>
                <w:rFonts w:hint="eastAsia" w:cs="宋体"/>
                <w:bCs/>
                <w:color w:val="000000"/>
                <w:sz w:val="24"/>
                <w:szCs w:val="24"/>
              </w:rPr>
              <w:sym w:font="Wingdings" w:char="00A8"/>
            </w:r>
            <w:r>
              <w:rPr>
                <w:rFonts w:hint="eastAsia" w:cs="宋体"/>
                <w:bCs/>
                <w:color w:val="000000"/>
                <w:sz w:val="24"/>
                <w:szCs w:val="24"/>
              </w:rPr>
              <w:t xml:space="preserve"> 6、由两个以上的经营者共同控制的合营企业，通过集中被其中一个或一个以上经营者控制。</w:t>
            </w:r>
          </w:p>
        </w:tc>
      </w:tr>
      <w:tr w14:paraId="0684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940" w:type="dxa"/>
            <w:shd w:val="clear" w:color="auto" w:fill="auto"/>
            <w:vAlign w:val="center"/>
          </w:tcPr>
          <w:p w14:paraId="0A011EC3">
            <w:pPr>
              <w:pStyle w:val="3"/>
              <w:keepNext w:val="0"/>
              <w:keepLines w:val="0"/>
              <w:suppressLineNumbers w:val="0"/>
              <w:adjustRightInd w:val="0"/>
              <w:snapToGrid w:val="0"/>
              <w:spacing w:before="0" w:beforeAutospacing="0" w:after="0" w:afterAutospacing="0"/>
              <w:ind w:left="0" w:right="0"/>
              <w:jc w:val="center"/>
              <w:rPr>
                <w:rFonts w:hint="default" w:cs="宋体"/>
                <w:bCs/>
                <w:color w:val="000000"/>
                <w:sz w:val="24"/>
                <w:szCs w:val="24"/>
              </w:rPr>
            </w:pPr>
            <w:r>
              <w:rPr>
                <w:rFonts w:hint="eastAsia" w:cs="宋体"/>
                <w:bCs/>
                <w:color w:val="000000"/>
                <w:sz w:val="24"/>
                <w:szCs w:val="24"/>
              </w:rPr>
              <w:t>备注</w:t>
            </w:r>
          </w:p>
        </w:tc>
        <w:tc>
          <w:tcPr>
            <w:tcW w:w="7700" w:type="dxa"/>
            <w:gridSpan w:val="2"/>
            <w:vAlign w:val="center"/>
          </w:tcPr>
          <w:p w14:paraId="211953EE">
            <w:pPr>
              <w:keepNext w:val="0"/>
              <w:keepLines w:val="0"/>
              <w:widowControl/>
              <w:suppressLineNumbers w:val="0"/>
              <w:snapToGrid/>
              <w:spacing w:before="0" w:beforeAutospacing="0" w:after="0" w:afterAutospacing="0" w:line="460" w:lineRule="exact"/>
              <w:ind w:left="0" w:right="0"/>
              <w:jc w:val="left"/>
              <w:rPr>
                <w:rFonts w:hint="eastAsia" w:eastAsia="宋体"/>
                <w:b/>
                <w:bCs/>
                <w:sz w:val="24"/>
                <w:highlight w:val="none"/>
                <w:lang w:bidi="ar"/>
              </w:rPr>
            </w:pPr>
            <w:r>
              <w:rPr>
                <w:rFonts w:hint="eastAsia" w:cs="Times New Roman"/>
                <w:b/>
                <w:bCs/>
                <w:sz w:val="24"/>
                <w:highlight w:val="none"/>
                <w:lang w:eastAsia="zh-CN" w:bidi="ar"/>
              </w:rPr>
              <w:t>横向重叠：</w:t>
            </w:r>
          </w:p>
          <w:p w14:paraId="56960969">
            <w:pPr>
              <w:keepNext w:val="0"/>
              <w:keepLines w:val="0"/>
              <w:widowControl/>
              <w:suppressLineNumbers w:val="0"/>
              <w:snapToGrid/>
              <w:spacing w:before="0" w:beforeAutospacing="0" w:after="0" w:afterAutospacing="0" w:line="460" w:lineRule="exact"/>
              <w:ind w:left="0" w:right="0"/>
              <w:jc w:val="left"/>
              <w:rPr>
                <w:rFonts w:hint="eastAsia"/>
                <w:sz w:val="24"/>
                <w:highlight w:val="none"/>
                <w:lang w:bidi="ar"/>
              </w:rPr>
            </w:pPr>
            <w:r>
              <w:rPr>
                <w:rFonts w:hint="eastAsia"/>
                <w:sz w:val="24"/>
                <w:highlight w:val="none"/>
                <w:lang w:bidi="ar"/>
              </w:rPr>
              <w:t>2024年全球分析仪器市场：</w:t>
            </w:r>
          </w:p>
          <w:p w14:paraId="350025D8">
            <w:pPr>
              <w:keepNext w:val="0"/>
              <w:keepLines w:val="0"/>
              <w:widowControl/>
              <w:suppressLineNumbers w:val="0"/>
              <w:snapToGrid/>
              <w:spacing w:before="0" w:beforeAutospacing="0" w:after="0" w:afterAutospacing="0" w:line="460" w:lineRule="exact"/>
              <w:ind w:left="0" w:right="0"/>
              <w:jc w:val="left"/>
              <w:rPr>
                <w:rFonts w:hint="eastAsia"/>
                <w:sz w:val="24"/>
                <w:highlight w:val="none"/>
                <w:lang w:bidi="ar"/>
              </w:rPr>
            </w:pPr>
            <w:r>
              <w:rPr>
                <w:rFonts w:hint="eastAsia"/>
                <w:sz w:val="24"/>
                <w:highlight w:val="none"/>
                <w:lang w:bidi="ar"/>
              </w:rPr>
              <w:t>KKR公司：0-5%，思百吉：0-5%，合计：0-5%</w:t>
            </w:r>
          </w:p>
          <w:p w14:paraId="074D55F4">
            <w:pPr>
              <w:keepNext w:val="0"/>
              <w:keepLines w:val="0"/>
              <w:widowControl/>
              <w:suppressLineNumbers w:val="0"/>
              <w:snapToGrid/>
              <w:spacing w:before="0" w:beforeAutospacing="0" w:after="0" w:afterAutospacing="0" w:line="460" w:lineRule="exact"/>
              <w:ind w:left="0" w:right="0"/>
              <w:jc w:val="left"/>
              <w:rPr>
                <w:rFonts w:hint="eastAsia"/>
                <w:sz w:val="24"/>
                <w:highlight w:val="none"/>
                <w:lang w:bidi="ar"/>
              </w:rPr>
            </w:pPr>
            <w:r>
              <w:rPr>
                <w:rFonts w:hint="eastAsia"/>
                <w:sz w:val="24"/>
                <w:highlight w:val="none"/>
                <w:lang w:bidi="ar"/>
              </w:rPr>
              <w:t>2024年中国境内分析仪器市场：</w:t>
            </w:r>
          </w:p>
          <w:p w14:paraId="6013A4BA">
            <w:pPr>
              <w:keepNext w:val="0"/>
              <w:keepLines w:val="0"/>
              <w:widowControl/>
              <w:suppressLineNumbers w:val="0"/>
              <w:snapToGrid/>
              <w:spacing w:before="0" w:beforeAutospacing="0" w:after="0" w:afterAutospacing="0" w:line="460" w:lineRule="exact"/>
              <w:ind w:left="0" w:right="0"/>
              <w:jc w:val="left"/>
              <w:rPr>
                <w:rFonts w:hint="eastAsia" w:ascii="Times New Roman" w:hAnsi="Times New Roman" w:eastAsia="宋体" w:cs="Times New Roman"/>
                <w:b w:val="0"/>
                <w:bCs w:val="0"/>
                <w:sz w:val="21"/>
                <w:szCs w:val="24"/>
                <w:highlight w:val="none"/>
                <w:lang w:eastAsia="zh-CN" w:bidi="ar"/>
              </w:rPr>
            </w:pPr>
            <w:r>
              <w:rPr>
                <w:rFonts w:hint="eastAsia"/>
                <w:sz w:val="24"/>
                <w:highlight w:val="none"/>
                <w:lang w:bidi="ar"/>
              </w:rPr>
              <w:t>KKR公司：0-5%，思百吉：0-5%，合计：0-5%</w:t>
            </w:r>
          </w:p>
        </w:tc>
      </w:tr>
    </w:tbl>
    <w:p w14:paraId="1EF089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B3326"/>
    <w:rsid w:val="60BB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style>
  <w:style w:type="paragraph" w:styleId="3">
    <w:name w:val="Body Text"/>
    <w:basedOn w:val="1"/>
    <w:next w:val="4"/>
    <w:unhideWhenUsed/>
    <w:qFormat/>
    <w:uiPriority w:val="99"/>
    <w:pPr>
      <w:spacing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2025-08-20T06:47:00Z</dcterms:created>
  <dc:creator>胡翌婧</dc:creator>
  <cp:lastModifiedBy>胡翌婧</cp:lastModifiedBy>
  <dcterms:modified xsi:type="dcterms:W3CDTF">2025-08-20T06:47:18Z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5454C873C9E241B7B5717DF3B4DA3DD8_11</vt:lpwstr>
  </property>
  <property fmtid="{D5CDD505-2E9C-101B-9397-08002B2CF9AE}" pid="4" name="KSOTemplateDocerSaveRecord">
    <vt:lpwstr>eyJoZGlkIjoiODNjM2VkZWUwYjdkZDYzZGY2NmZiZGNiZGIyMjFjYWIiLCJ1c2VySWQiOiIyNDQ2MzYxMzgifQ==</vt:lpwstr>
  </property>
</Properties>
</file>