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52A75">
      <w:pPr>
        <w:keepNext w:val="0"/>
        <w:keepLines w:val="0"/>
        <w:widowControl/>
        <w:suppressLineNumbers w:val="0"/>
        <w:spacing w:before="0" w:beforeAutospacing="0" w:after="240" w:afterAutospacing="0"/>
        <w:ind w:left="0" w:right="0"/>
        <w:jc w:val="center"/>
        <w:rPr>
          <w:rFonts w:hint="eastAsia" w:ascii="方正小标宋简体" w:hAnsi="方正小标宋简体" w:eastAsia="方正小标宋简体" w:cs="方正小标宋简体"/>
          <w:kern w:val="0"/>
          <w:sz w:val="44"/>
          <w:szCs w:val="44"/>
          <w:lang w:val="en-GB" w:eastAsia="zh-CN" w:bidi="ar"/>
        </w:rPr>
      </w:pPr>
      <w:bookmarkStart w:id="0" w:name="_GoBack"/>
      <w:r>
        <w:rPr>
          <w:rFonts w:hint="eastAsia" w:ascii="方正小标宋简体" w:hAnsi="方正小标宋简体" w:eastAsia="方正小标宋简体" w:cs="方正小标宋简体"/>
          <w:kern w:val="0"/>
          <w:sz w:val="44"/>
          <w:szCs w:val="44"/>
          <w:lang w:val="en-GB" w:eastAsia="zh-CN" w:bidi="ar"/>
        </w:rPr>
        <w:t>经营者集中简易案件公示表</w:t>
      </w:r>
    </w:p>
    <w:bookmarkEnd w:id="0"/>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476"/>
        <w:gridCol w:w="6224"/>
      </w:tblGrid>
      <w:tr w14:paraId="18F0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40" w:type="dxa"/>
            <w:shd w:val="clear" w:color="auto" w:fill="D9D9D9"/>
            <w:vAlign w:val="center"/>
          </w:tcPr>
          <w:p w14:paraId="61359C4E">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案件名称</w:t>
            </w:r>
          </w:p>
        </w:tc>
        <w:tc>
          <w:tcPr>
            <w:tcW w:w="7700" w:type="dxa"/>
            <w:gridSpan w:val="2"/>
            <w:vAlign w:val="center"/>
          </w:tcPr>
          <w:p w14:paraId="22E8EB2F">
            <w:pPr>
              <w:widowControl/>
              <w:adjustRightInd w:val="0"/>
              <w:snapToGrid w:val="0"/>
              <w:rPr>
                <w:rFonts w:hint="default" w:ascii="Times New Roman" w:hAnsi="Times New Roman" w:cs="Times New Roman"/>
                <w:bCs/>
                <w:color w:val="000000"/>
                <w:sz w:val="24"/>
              </w:rPr>
            </w:pPr>
            <w:r>
              <w:rPr>
                <w:rFonts w:hint="default" w:ascii="Times New Roman" w:hAnsi="Times New Roman" w:cs="Times New Roman"/>
                <w:sz w:val="24"/>
              </w:rPr>
              <w:t>株式会社IBeeT与东急不动产株式会社等经营者新设合营企业案</w:t>
            </w:r>
          </w:p>
        </w:tc>
      </w:tr>
      <w:tr w14:paraId="18BE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940" w:type="dxa"/>
            <w:shd w:val="clear" w:color="auto" w:fill="D9D9D9"/>
            <w:vAlign w:val="center"/>
          </w:tcPr>
          <w:p w14:paraId="6392D21F">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交易概况（限200字内）</w:t>
            </w:r>
          </w:p>
        </w:tc>
        <w:tc>
          <w:tcPr>
            <w:tcW w:w="7700" w:type="dxa"/>
            <w:gridSpan w:val="2"/>
            <w:vAlign w:val="center"/>
          </w:tcPr>
          <w:p w14:paraId="44C426A1">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株式会社IBeeT（“IBeeT”）、东急不动产株式会社（“东急不动产”）和Akaysha Energy Japan株式会社（“Akaysha Japan”）签署交易协议，计划在日本新设一家合营企业。合营企业将在日本开发、建设并运营一座储能电站。交易后，IBeeT、东急不动产和Akaysha Japan将分别持有合营企业37.5%、37.5%和25%的股份，共同控制合营企业。</w:t>
            </w:r>
          </w:p>
        </w:tc>
      </w:tr>
      <w:tr w14:paraId="4A73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40" w:type="dxa"/>
            <w:vMerge w:val="restart"/>
            <w:shd w:val="clear" w:color="auto" w:fill="D9D9D9"/>
            <w:vAlign w:val="center"/>
          </w:tcPr>
          <w:p w14:paraId="34057096">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参与集中的经营者简介（每个限100字内）</w:t>
            </w:r>
          </w:p>
        </w:tc>
        <w:tc>
          <w:tcPr>
            <w:tcW w:w="1476" w:type="dxa"/>
            <w:vAlign w:val="center"/>
          </w:tcPr>
          <w:p w14:paraId="3A491880">
            <w:pPr>
              <w:pStyle w:val="3"/>
              <w:widowControl/>
              <w:adjustRightInd w:val="0"/>
              <w:snapToGrid w:val="0"/>
              <w:spacing w:after="0"/>
              <w:rPr>
                <w:rFonts w:hint="default" w:ascii="Times New Roman" w:hAnsi="Times New Roman" w:eastAsia="宋体" w:cs="Times New Roman"/>
                <w:bCs/>
                <w:color w:val="000000"/>
                <w:sz w:val="24"/>
                <w:lang w:val="en-US" w:eastAsia="zh-CN"/>
              </w:rPr>
            </w:pPr>
            <w:r>
              <w:rPr>
                <w:rFonts w:hint="default" w:ascii="Times New Roman" w:hAnsi="Times New Roman" w:cs="Times New Roman"/>
                <w:bCs/>
                <w:color w:val="000000"/>
                <w:sz w:val="24"/>
                <w:lang w:val="en-US" w:eastAsia="zh-CN"/>
              </w:rPr>
              <w:t>1</w:t>
            </w:r>
            <w:r>
              <w:rPr>
                <w:rFonts w:hint="default" w:ascii="Times New Roman" w:hAnsi="Times New Roman" w:cs="Times New Roman"/>
                <w:bCs/>
                <w:color w:val="000000"/>
                <w:sz w:val="24"/>
              </w:rPr>
              <w:t>.</w:t>
            </w:r>
            <w:r>
              <w:rPr>
                <w:rFonts w:hint="eastAsia" w:cs="Times New Roman"/>
                <w:bCs/>
                <w:color w:val="000000"/>
                <w:sz w:val="24"/>
                <w:lang w:val="en-US" w:eastAsia="zh-CN"/>
              </w:rPr>
              <w:t>IBeeT</w:t>
            </w:r>
          </w:p>
        </w:tc>
        <w:tc>
          <w:tcPr>
            <w:tcW w:w="6224" w:type="dxa"/>
            <w:vAlign w:val="center"/>
          </w:tcPr>
          <w:p w14:paraId="7B50C13A">
            <w:pPr>
              <w:pStyle w:val="3"/>
              <w:widowControl/>
              <w:adjustRightInd w:val="0"/>
              <w:snapToGrid w:val="0"/>
              <w:spacing w:after="0"/>
              <w:rPr>
                <w:rFonts w:hint="default" w:ascii="Times New Roman" w:hAnsi="Times New Roman" w:cs="Times New Roman"/>
                <w:sz w:val="24"/>
              </w:rPr>
            </w:pPr>
            <w:r>
              <w:rPr>
                <w:rFonts w:hint="default" w:ascii="Times New Roman" w:hAnsi="Times New Roman" w:cs="Times New Roman"/>
                <w:sz w:val="24"/>
              </w:rPr>
              <w:t>IBeeT于2021年4月20日成立于日本，主要业务为家庭/企业用储能系统及大型工业储能电池的租赁。</w:t>
            </w:r>
          </w:p>
          <w:p w14:paraId="500D8974">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sz w:val="24"/>
              </w:rPr>
              <w:t>IBeeT最终控制人为伊藤忠商事株式会社和东京盛世利株式会社。伊藤忠商事株式会社主要业务涉及纤维、机械、金属、能源、化工、粮油食品、住房、信息和通信、金融等领域。东京盛世利株式会社主要业务涉及租赁、租车、环境/能源、房地产、航空等领域。</w:t>
            </w:r>
          </w:p>
        </w:tc>
      </w:tr>
      <w:tr w14:paraId="5C49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40" w:type="dxa"/>
            <w:vMerge w:val="continue"/>
            <w:shd w:val="clear" w:color="auto" w:fill="D9D9D9"/>
            <w:vAlign w:val="center"/>
          </w:tcPr>
          <w:p w14:paraId="01D58243">
            <w:pPr>
              <w:pStyle w:val="3"/>
              <w:widowControl/>
              <w:adjustRightInd w:val="0"/>
              <w:snapToGrid w:val="0"/>
              <w:spacing w:after="0"/>
              <w:jc w:val="center"/>
              <w:rPr>
                <w:rFonts w:hint="default" w:ascii="Times New Roman" w:hAnsi="Times New Roman" w:cs="Times New Roman"/>
                <w:bCs/>
                <w:color w:val="000000"/>
                <w:sz w:val="24"/>
              </w:rPr>
            </w:pPr>
          </w:p>
        </w:tc>
        <w:tc>
          <w:tcPr>
            <w:tcW w:w="1476" w:type="dxa"/>
            <w:vAlign w:val="center"/>
          </w:tcPr>
          <w:p w14:paraId="0877F405">
            <w:pPr>
              <w:pStyle w:val="3"/>
              <w:widowControl/>
              <w:adjustRightInd w:val="0"/>
              <w:snapToGrid w:val="0"/>
              <w:spacing w:after="0"/>
              <w:rPr>
                <w:rFonts w:hint="default" w:ascii="Times New Roman" w:hAnsi="Times New Roman" w:cs="Times New Roman"/>
                <w:bCs/>
                <w:color w:val="000000"/>
                <w:sz w:val="24"/>
                <w:lang w:val="en-US" w:eastAsia="zh-CN"/>
              </w:rPr>
            </w:pPr>
            <w:r>
              <w:rPr>
                <w:rFonts w:hint="eastAsia" w:cs="Times New Roman"/>
                <w:bCs/>
                <w:color w:val="000000"/>
                <w:sz w:val="24"/>
                <w:lang w:val="en-US" w:eastAsia="zh-CN"/>
              </w:rPr>
              <w:t>2.东急不动产</w:t>
            </w:r>
          </w:p>
        </w:tc>
        <w:tc>
          <w:tcPr>
            <w:tcW w:w="6224" w:type="dxa"/>
            <w:vAlign w:val="center"/>
          </w:tcPr>
          <w:p w14:paraId="1C8C62CF">
            <w:pPr>
              <w:pStyle w:val="3"/>
              <w:widowControl/>
              <w:adjustRightInd w:val="0"/>
              <w:snapToGrid w:val="0"/>
              <w:spacing w:after="0"/>
              <w:rPr>
                <w:rFonts w:hint="default" w:ascii="Times New Roman" w:hAnsi="Times New Roman" w:cs="Times New Roman"/>
                <w:sz w:val="24"/>
              </w:rPr>
            </w:pPr>
            <w:r>
              <w:rPr>
                <w:rFonts w:hint="default" w:ascii="Times New Roman" w:hAnsi="Times New Roman" w:cs="Times New Roman"/>
                <w:sz w:val="24"/>
              </w:rPr>
              <w:t>东急不动产于1953年12月17日成立于日本，主要业务涉及城市开发、住宅业务、健康产业、海外业务等领域。</w:t>
            </w:r>
          </w:p>
          <w:p w14:paraId="47AC367D">
            <w:pPr>
              <w:pStyle w:val="3"/>
              <w:widowControl/>
              <w:adjustRightInd w:val="0"/>
              <w:snapToGrid w:val="0"/>
              <w:spacing w:after="0"/>
              <w:rPr>
                <w:rFonts w:hint="default" w:ascii="Times New Roman" w:hAnsi="Times New Roman" w:cs="Times New Roman"/>
                <w:sz w:val="24"/>
              </w:rPr>
            </w:pPr>
            <w:r>
              <w:rPr>
                <w:rFonts w:hint="default" w:ascii="Times New Roman" w:hAnsi="Times New Roman" w:cs="Times New Roman"/>
                <w:sz w:val="24"/>
              </w:rPr>
              <w:t>东急不动产最终控制人为东急不动产控股株式会社，主要业务涉及城市开发、战略投资、物业管理与运营、房地产经纪服务四大领域。</w:t>
            </w:r>
          </w:p>
        </w:tc>
      </w:tr>
      <w:tr w14:paraId="7D00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40" w:type="dxa"/>
            <w:vMerge w:val="continue"/>
            <w:shd w:val="clear" w:color="auto" w:fill="D9D9D9"/>
            <w:vAlign w:val="center"/>
          </w:tcPr>
          <w:p w14:paraId="0E8F014A">
            <w:pPr>
              <w:pStyle w:val="3"/>
              <w:widowControl/>
              <w:adjustRightInd w:val="0"/>
              <w:snapToGrid w:val="0"/>
              <w:spacing w:after="0"/>
              <w:jc w:val="center"/>
              <w:rPr>
                <w:rFonts w:hint="default" w:ascii="Times New Roman" w:hAnsi="Times New Roman" w:cs="Times New Roman"/>
                <w:bCs/>
                <w:color w:val="000000"/>
                <w:sz w:val="24"/>
              </w:rPr>
            </w:pPr>
          </w:p>
        </w:tc>
        <w:tc>
          <w:tcPr>
            <w:tcW w:w="1476" w:type="dxa"/>
            <w:vAlign w:val="center"/>
          </w:tcPr>
          <w:p w14:paraId="43872F83">
            <w:pPr>
              <w:pStyle w:val="3"/>
              <w:widowControl/>
              <w:adjustRightInd w:val="0"/>
              <w:snapToGrid w:val="0"/>
              <w:spacing w:after="0"/>
              <w:rPr>
                <w:rFonts w:hint="default" w:ascii="Times New Roman" w:hAnsi="Times New Roman" w:cs="Times New Roman"/>
                <w:bCs/>
                <w:color w:val="000000"/>
                <w:sz w:val="24"/>
                <w:lang w:val="en-US" w:eastAsia="zh-CN"/>
              </w:rPr>
            </w:pPr>
            <w:r>
              <w:rPr>
                <w:rFonts w:hint="eastAsia" w:cs="Times New Roman"/>
                <w:bCs/>
                <w:color w:val="000000"/>
                <w:sz w:val="24"/>
                <w:lang w:val="en-US" w:eastAsia="zh-CN"/>
              </w:rPr>
              <w:t>3</w:t>
            </w:r>
            <w:r>
              <w:rPr>
                <w:rFonts w:hint="default" w:ascii="Times New Roman" w:hAnsi="Times New Roman" w:cs="Times New Roman"/>
                <w:bCs/>
                <w:color w:val="000000"/>
                <w:sz w:val="24"/>
                <w:lang w:val="en-US" w:eastAsia="zh-CN"/>
              </w:rPr>
              <w:t>.</w:t>
            </w:r>
            <w:r>
              <w:rPr>
                <w:rFonts w:hint="eastAsia" w:cs="Times New Roman"/>
                <w:bCs/>
                <w:color w:val="000000"/>
                <w:sz w:val="24"/>
                <w:lang w:val="en-US" w:eastAsia="zh-CN"/>
              </w:rPr>
              <w:t>Akaysha Japan</w:t>
            </w:r>
          </w:p>
        </w:tc>
        <w:tc>
          <w:tcPr>
            <w:tcW w:w="6224" w:type="dxa"/>
            <w:vAlign w:val="center"/>
          </w:tcPr>
          <w:p w14:paraId="48DA54D9">
            <w:pPr>
              <w:pStyle w:val="3"/>
              <w:widowControl/>
              <w:adjustRightInd w:val="0"/>
              <w:snapToGrid w:val="0"/>
              <w:spacing w:after="0"/>
              <w:rPr>
                <w:rFonts w:hint="default" w:ascii="Times New Roman" w:hAnsi="Times New Roman" w:cs="Times New Roman"/>
                <w:sz w:val="24"/>
              </w:rPr>
            </w:pPr>
            <w:r>
              <w:rPr>
                <w:rFonts w:hint="default" w:ascii="Times New Roman" w:hAnsi="Times New Roman" w:cs="Times New Roman"/>
                <w:sz w:val="24"/>
              </w:rPr>
              <w:t>Akaysha Japan于2023年5月19日成立于日本，主要从事电池储能系统的开发和运营业务。</w:t>
            </w:r>
          </w:p>
          <w:p w14:paraId="5AA39DC5">
            <w:pPr>
              <w:pStyle w:val="3"/>
              <w:widowControl/>
              <w:adjustRightInd w:val="0"/>
              <w:snapToGrid w:val="0"/>
              <w:spacing w:after="0"/>
              <w:rPr>
                <w:rFonts w:hint="default" w:ascii="Times New Roman" w:hAnsi="Times New Roman" w:cs="Times New Roman"/>
                <w:sz w:val="24"/>
              </w:rPr>
            </w:pPr>
            <w:r>
              <w:rPr>
                <w:rFonts w:hint="default" w:ascii="Times New Roman" w:hAnsi="Times New Roman" w:cs="Times New Roman"/>
                <w:sz w:val="24"/>
              </w:rPr>
              <w:t>Akaysha Japan最终控制人为美国贝莱德公司，主要业务是为世界各地的机构和零售客户提供各类投资管理和技术服务。</w:t>
            </w:r>
          </w:p>
        </w:tc>
      </w:tr>
      <w:tr w14:paraId="6445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940" w:type="dxa"/>
            <w:vMerge w:val="restart"/>
            <w:shd w:val="clear" w:color="auto" w:fill="D9D9D9"/>
            <w:vAlign w:val="center"/>
          </w:tcPr>
          <w:p w14:paraId="4D038162">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简易案件理由（可以单选，也可以多选）</w:t>
            </w:r>
          </w:p>
        </w:tc>
        <w:tc>
          <w:tcPr>
            <w:tcW w:w="7700" w:type="dxa"/>
            <w:gridSpan w:val="2"/>
            <w:vAlign w:val="center"/>
          </w:tcPr>
          <w:p w14:paraId="147A0EBE">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A8"/>
            </w:r>
            <w:r>
              <w:rPr>
                <w:rFonts w:hint="default" w:ascii="Times New Roman" w:hAnsi="Times New Roman" w:cs="Times New Roman"/>
                <w:bCs/>
                <w:color w:val="000000"/>
                <w:sz w:val="24"/>
              </w:rPr>
              <w:t xml:space="preserve"> 1、在同一相关市场，所有参与集中的经营者所占市场份额之和小于15%。</w:t>
            </w:r>
          </w:p>
        </w:tc>
      </w:tr>
      <w:tr w14:paraId="4D79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40" w:type="dxa"/>
            <w:vMerge w:val="continue"/>
            <w:shd w:val="clear" w:color="auto" w:fill="D9D9D9"/>
            <w:vAlign w:val="center"/>
          </w:tcPr>
          <w:p w14:paraId="3DCB853E">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19EA0174">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A8"/>
            </w:r>
            <w:r>
              <w:rPr>
                <w:rFonts w:hint="default" w:ascii="Times New Roman" w:hAnsi="Times New Roman" w:cs="Times New Roman"/>
                <w:bCs/>
                <w:color w:val="000000"/>
                <w:sz w:val="24"/>
              </w:rPr>
              <w:t xml:space="preserve"> 2、存在上下游关系的参与集中的经营者，在上下游市场所占的市场份额均小于25%。</w:t>
            </w:r>
          </w:p>
        </w:tc>
      </w:tr>
      <w:tr w14:paraId="30A1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40" w:type="dxa"/>
            <w:vMerge w:val="continue"/>
            <w:shd w:val="clear" w:color="auto" w:fill="D9D9D9"/>
            <w:vAlign w:val="center"/>
          </w:tcPr>
          <w:p w14:paraId="34827E92">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49D3F526">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A8"/>
            </w:r>
            <w:r>
              <w:rPr>
                <w:rFonts w:hint="default" w:ascii="Times New Roman" w:hAnsi="Times New Roman" w:cs="Times New Roman"/>
                <w:bCs/>
                <w:color w:val="000000"/>
                <w:sz w:val="24"/>
              </w:rPr>
              <w:t xml:space="preserve"> 3、不在同一相关市场、也不存在上下游关系的参与集中的经营者，在与交易有关的每个市场所占的份额均小于25%。</w:t>
            </w:r>
          </w:p>
        </w:tc>
      </w:tr>
      <w:tr w14:paraId="1D4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40" w:type="dxa"/>
            <w:vMerge w:val="continue"/>
            <w:shd w:val="clear" w:color="auto" w:fill="D9D9D9"/>
            <w:vAlign w:val="center"/>
          </w:tcPr>
          <w:p w14:paraId="132D94AF">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221F9908">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FE"/>
            </w:r>
            <w:r>
              <w:rPr>
                <w:rFonts w:hint="default" w:ascii="Times New Roman" w:hAnsi="Times New Roman" w:cs="Times New Roman"/>
                <w:bCs/>
                <w:color w:val="000000"/>
                <w:sz w:val="24"/>
              </w:rPr>
              <w:t xml:space="preserve"> 4、参与集中的经营者在中国境外设立合营企业，合营企业不在中国境内从事经济活动。</w:t>
            </w:r>
          </w:p>
        </w:tc>
      </w:tr>
      <w:tr w14:paraId="31F0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940" w:type="dxa"/>
            <w:vMerge w:val="continue"/>
            <w:shd w:val="clear" w:color="auto" w:fill="D9D9D9"/>
            <w:vAlign w:val="center"/>
          </w:tcPr>
          <w:p w14:paraId="00F93A8F">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0C8D9DAB">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A8"/>
            </w:r>
            <w:r>
              <w:rPr>
                <w:rFonts w:hint="default" w:ascii="Times New Roman" w:hAnsi="Times New Roman" w:cs="Times New Roman"/>
                <w:bCs/>
                <w:color w:val="000000"/>
                <w:sz w:val="24"/>
              </w:rPr>
              <w:t xml:space="preserve"> 5、参与集中的经营者收购境外企业股权或资产的，该境外企业不在中国境内从事经济活动。</w:t>
            </w:r>
          </w:p>
        </w:tc>
      </w:tr>
      <w:tr w14:paraId="61D7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40" w:type="dxa"/>
            <w:vMerge w:val="continue"/>
            <w:shd w:val="clear" w:color="auto" w:fill="D9D9D9"/>
            <w:vAlign w:val="center"/>
          </w:tcPr>
          <w:p w14:paraId="059BF2FD">
            <w:pPr>
              <w:pStyle w:val="3"/>
              <w:widowControl/>
              <w:adjustRightInd w:val="0"/>
              <w:snapToGrid w:val="0"/>
              <w:spacing w:after="0"/>
              <w:jc w:val="center"/>
              <w:rPr>
                <w:rFonts w:hint="default" w:ascii="Times New Roman" w:hAnsi="Times New Roman" w:cs="Times New Roman"/>
                <w:bCs/>
                <w:color w:val="000000"/>
                <w:sz w:val="24"/>
              </w:rPr>
            </w:pPr>
          </w:p>
        </w:tc>
        <w:tc>
          <w:tcPr>
            <w:tcW w:w="7700" w:type="dxa"/>
            <w:gridSpan w:val="2"/>
            <w:vAlign w:val="center"/>
          </w:tcPr>
          <w:p w14:paraId="0C86E79E">
            <w:pPr>
              <w:pStyle w:val="3"/>
              <w:widowControl/>
              <w:adjustRightInd w:val="0"/>
              <w:snapToGrid w:val="0"/>
              <w:spacing w:after="0"/>
              <w:rPr>
                <w:rFonts w:hint="default" w:ascii="Times New Roman" w:hAnsi="Times New Roman" w:cs="Times New Roman"/>
                <w:bCs/>
                <w:color w:val="000000"/>
                <w:sz w:val="24"/>
              </w:rPr>
            </w:pPr>
            <w:r>
              <w:rPr>
                <w:rFonts w:hint="default" w:ascii="Times New Roman" w:hAnsi="Times New Roman" w:cs="Times New Roman"/>
                <w:bCs/>
                <w:color w:val="000000"/>
                <w:sz w:val="24"/>
              </w:rPr>
              <w:sym w:font="Wingdings" w:char="00A8"/>
            </w:r>
            <w:r>
              <w:rPr>
                <w:rFonts w:hint="default" w:ascii="Times New Roman" w:hAnsi="Times New Roman" w:cs="Times New Roman"/>
                <w:bCs/>
                <w:color w:val="000000"/>
                <w:sz w:val="24"/>
              </w:rPr>
              <w:t xml:space="preserve"> 6、由两个以上的经营者共同控制的合营企业，通过集中被其中一个或一个以上经营者控制。</w:t>
            </w:r>
          </w:p>
        </w:tc>
      </w:tr>
      <w:tr w14:paraId="6B06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40" w:type="dxa"/>
            <w:shd w:val="clear" w:color="auto" w:fill="D9D9D9"/>
            <w:vAlign w:val="center"/>
          </w:tcPr>
          <w:p w14:paraId="08556C1B">
            <w:pPr>
              <w:pStyle w:val="3"/>
              <w:widowControl/>
              <w:adjustRightInd w:val="0"/>
              <w:snapToGrid w:val="0"/>
              <w:spacing w:after="0"/>
              <w:jc w:val="center"/>
              <w:rPr>
                <w:rFonts w:hint="default" w:ascii="Times New Roman" w:hAnsi="Times New Roman" w:cs="Times New Roman"/>
                <w:bCs/>
                <w:color w:val="000000"/>
                <w:sz w:val="24"/>
              </w:rPr>
            </w:pPr>
            <w:r>
              <w:rPr>
                <w:rFonts w:hint="default" w:ascii="Times New Roman" w:hAnsi="Times New Roman" w:cs="Times New Roman"/>
                <w:bCs/>
                <w:color w:val="000000"/>
                <w:sz w:val="24"/>
              </w:rPr>
              <w:t>备注</w:t>
            </w:r>
          </w:p>
        </w:tc>
        <w:tc>
          <w:tcPr>
            <w:tcW w:w="7700" w:type="dxa"/>
            <w:gridSpan w:val="2"/>
            <w:vAlign w:val="center"/>
          </w:tcPr>
          <w:p w14:paraId="7815CB9C">
            <w:pPr>
              <w:pStyle w:val="3"/>
              <w:adjustRightInd w:val="0"/>
              <w:snapToGrid w:val="0"/>
              <w:spacing w:after="0"/>
              <w:rPr>
                <w:rFonts w:hint="default" w:ascii="Times New Roman" w:hAnsi="Times New Roman" w:eastAsia="宋体" w:cs="Times New Roman"/>
                <w:b/>
                <w:color w:val="000000" w:themeColor="text1"/>
                <w:kern w:val="0"/>
                <w:sz w:val="24"/>
                <w:szCs w:val="24"/>
                <w:lang w:val="en-US" w:eastAsia="zh-CN" w:bidi="ar-SA"/>
                <w14:textFill>
                  <w14:solidFill>
                    <w14:schemeClr w14:val="tx1"/>
                  </w14:solidFill>
                </w14:textFill>
              </w:rPr>
            </w:pPr>
            <w:r>
              <w:rPr>
                <w:rFonts w:hint="eastAsia" w:cs="Times New Roman"/>
                <w:b w:val="0"/>
                <w:bCs/>
                <w:color w:val="000000" w:themeColor="text1"/>
                <w:kern w:val="0"/>
                <w:sz w:val="24"/>
                <w:szCs w:val="24"/>
                <w:lang w:val="en-US" w:eastAsia="zh-CN" w:bidi="ar-SA"/>
                <w14:textFill>
                  <w14:solidFill>
                    <w14:schemeClr w14:val="tx1"/>
                  </w14:solidFill>
                </w14:textFill>
              </w:rPr>
              <w:t>不适用</w:t>
            </w:r>
          </w:p>
        </w:tc>
      </w:tr>
    </w:tbl>
    <w:p w14:paraId="404984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13B92"/>
    <w:rsid w:val="1301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style>
  <w:style w:type="paragraph" w:styleId="3">
    <w:name w:val="Body Text"/>
    <w:basedOn w:val="1"/>
    <w:next w:val="4"/>
    <w:unhideWhenUsed/>
    <w:qFormat/>
    <w:uiPriority w:val="99"/>
    <w:pPr>
      <w:spacing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2025-08-18T06:29:00Z</dcterms:created>
  <dc:creator>胡翌婧</dc:creator>
  <cp:lastModifiedBy>胡翌婧</cp:lastModifiedBy>
  <dcterms:modified xsi:type="dcterms:W3CDTF">2025-08-18T06:29:30Z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6760B9359BC3463A9485104DC88BDC16_11</vt:lpwstr>
  </property>
  <property fmtid="{D5CDD505-2E9C-101B-9397-08002B2CF9AE}" pid="4" name="KSOTemplateDocerSaveRecord">
    <vt:lpwstr>eyJoZGlkIjoiODNjM2VkZWUwYjdkZDYzZGY2NmZiZGNiZGIyMjFjYWIiLCJ1c2VySWQiOiIyNDQ2MzYxMzgifQ==</vt:lpwstr>
  </property>
</Properties>
</file>