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0C0C" w14:textId="76A53279" w:rsidR="00AB1591" w:rsidRPr="00D04F62" w:rsidRDefault="00AB1591" w:rsidP="00AB1591">
      <w:pPr>
        <w:spacing w:line="360" w:lineRule="auto"/>
        <w:jc w:val="center"/>
        <w:rPr>
          <w:rFonts w:eastAsia="SimHei" w:cs="SimHei"/>
          <w:bCs/>
          <w:sz w:val="36"/>
          <w:szCs w:val="36"/>
        </w:rPr>
      </w:pPr>
      <w:r w:rsidRPr="00D04F62">
        <w:rPr>
          <w:rFonts w:eastAsia="SimHei" w:cs="SimHei" w:hint="eastAsia"/>
          <w:bCs/>
          <w:sz w:val="36"/>
          <w:szCs w:val="36"/>
        </w:rPr>
        <w:t>经营者集中简易案件公示表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1796"/>
        <w:gridCol w:w="5783"/>
      </w:tblGrid>
      <w:tr w:rsidR="00AB1591" w:rsidRPr="00D04F62" w14:paraId="2582B65E" w14:textId="77777777" w:rsidTr="00D758F5">
        <w:trPr>
          <w:trHeight w:val="926"/>
          <w:jc w:val="center"/>
        </w:trPr>
        <w:tc>
          <w:tcPr>
            <w:tcW w:w="2061" w:type="dxa"/>
            <w:shd w:val="clear" w:color="auto" w:fill="D9D9D9"/>
            <w:vAlign w:val="center"/>
          </w:tcPr>
          <w:p w14:paraId="02098584" w14:textId="77777777" w:rsidR="00AB1591" w:rsidRPr="00D04F6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/>
              </w:rPr>
            </w:pPr>
            <w:proofErr w:type="spellStart"/>
            <w:r w:rsidRPr="00D04F62">
              <w:rPr>
                <w:rFonts w:cs="SimSun" w:hint="eastAsia"/>
                <w:bCs/>
                <w:color w:val="000000"/>
              </w:rPr>
              <w:t>案件名称</w:t>
            </w:r>
            <w:proofErr w:type="spellEnd"/>
          </w:p>
        </w:tc>
        <w:tc>
          <w:tcPr>
            <w:tcW w:w="7579" w:type="dxa"/>
            <w:gridSpan w:val="2"/>
            <w:vAlign w:val="center"/>
          </w:tcPr>
          <w:p w14:paraId="4253D798" w14:textId="3E1B4CAA" w:rsidR="00AB1591" w:rsidRPr="00D04F62" w:rsidRDefault="00D04F62" w:rsidP="00D758F5">
            <w:pPr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/>
              </w:rPr>
            </w:pPr>
            <w:r w:rsidRPr="00D04F62">
              <w:rPr>
                <w:rFonts w:cs="SimSun" w:hint="eastAsia"/>
                <w:bCs/>
                <w:color w:val="000000"/>
                <w:lang w:val="en-US"/>
              </w:rPr>
              <w:t>Pontegadea Shareholdings Luxembourg</w:t>
            </w:r>
            <w:r w:rsidRPr="00D04F62">
              <w:rPr>
                <w:rFonts w:cs="SimSun" w:hint="eastAsia"/>
                <w:bCs/>
                <w:color w:val="000000"/>
                <w:lang w:val="en-US"/>
              </w:rPr>
              <w:t>收购</w:t>
            </w:r>
            <w:r w:rsidRPr="00D04F62">
              <w:rPr>
                <w:rFonts w:cs="SimSun" w:hint="eastAsia"/>
                <w:bCs/>
                <w:color w:val="000000"/>
                <w:lang w:val="en-US"/>
              </w:rPr>
              <w:t>PD Ports Limited</w:t>
            </w:r>
            <w:r w:rsidRPr="00D04F62">
              <w:rPr>
                <w:rFonts w:cs="SimSun" w:hint="eastAsia"/>
                <w:bCs/>
                <w:color w:val="000000"/>
                <w:lang w:val="en-US"/>
              </w:rPr>
              <w:t>股权案</w:t>
            </w:r>
          </w:p>
        </w:tc>
      </w:tr>
      <w:tr w:rsidR="00AB1591" w:rsidRPr="00D04F62" w14:paraId="7EA7C63F" w14:textId="77777777" w:rsidTr="00D758F5">
        <w:trPr>
          <w:trHeight w:val="1391"/>
          <w:jc w:val="center"/>
        </w:trPr>
        <w:tc>
          <w:tcPr>
            <w:tcW w:w="2061" w:type="dxa"/>
            <w:shd w:val="clear" w:color="auto" w:fill="D9D9D9"/>
            <w:vAlign w:val="center"/>
          </w:tcPr>
          <w:p w14:paraId="229AFDF4" w14:textId="77777777" w:rsidR="00AB1591" w:rsidRPr="00D04F6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  <w:r w:rsidRPr="00D04F62">
              <w:rPr>
                <w:rFonts w:cs="SimSun" w:hint="eastAsia"/>
                <w:bCs/>
                <w:color w:val="000000"/>
                <w:lang w:eastAsia="zh-CN"/>
              </w:rPr>
              <w:t>交易概况（限</w:t>
            </w:r>
            <w:r w:rsidRPr="00D04F62">
              <w:rPr>
                <w:rFonts w:cs="SimSun" w:hint="eastAsia"/>
                <w:bCs/>
                <w:color w:val="000000"/>
                <w:lang w:eastAsia="zh-CN"/>
              </w:rPr>
              <w:t>200</w:t>
            </w:r>
            <w:r w:rsidRPr="00D04F62">
              <w:rPr>
                <w:rFonts w:cs="SimSun" w:hint="eastAsia"/>
                <w:bCs/>
                <w:color w:val="000000"/>
                <w:lang w:eastAsia="zh-CN"/>
              </w:rPr>
              <w:t>字内）</w:t>
            </w:r>
          </w:p>
        </w:tc>
        <w:tc>
          <w:tcPr>
            <w:tcW w:w="7579" w:type="dxa"/>
            <w:gridSpan w:val="2"/>
            <w:vAlign w:val="center"/>
          </w:tcPr>
          <w:p w14:paraId="2F377C49" w14:textId="640F608E" w:rsidR="00AB1591" w:rsidRPr="00D04F62" w:rsidRDefault="00A55AA1" w:rsidP="00D758F5">
            <w:pPr>
              <w:widowControl w:val="0"/>
              <w:adjustRightInd w:val="0"/>
              <w:snapToGrid w:val="0"/>
              <w:spacing w:after="0"/>
              <w:rPr>
                <w:rFonts w:cs="SimSun"/>
                <w:bCs/>
                <w:color w:val="000000"/>
              </w:rPr>
            </w:pPr>
            <w:r>
              <w:rPr>
                <w:rFonts w:cs="SimSun" w:hint="eastAsia"/>
                <w:bCs/>
                <w:color w:val="000000"/>
              </w:rPr>
              <w:t>Pontegadea Shareholdings Luxembourg</w:t>
            </w:r>
            <w:r w:rsidR="00EE6A94">
              <w:rPr>
                <w:rFonts w:cs="SimSun" w:hint="eastAsia"/>
                <w:bCs/>
                <w:color w:val="000000"/>
              </w:rPr>
              <w:t>与</w:t>
            </w:r>
            <w:r>
              <w:rPr>
                <w:rFonts w:cs="SimSun" w:hint="eastAsia"/>
                <w:bCs/>
                <w:color w:val="000000"/>
              </w:rPr>
              <w:t>博枫公司最终间接控制的实体签署协议，</w:t>
            </w:r>
            <w:r w:rsidR="006F5B4E">
              <w:rPr>
                <w:rFonts w:cs="SimSun" w:hint="eastAsia"/>
                <w:bCs/>
                <w:color w:val="000000"/>
              </w:rPr>
              <w:t>根据该协议，</w:t>
            </w:r>
            <w:r w:rsidR="006F5B4E" w:rsidRPr="006F5B4E">
              <w:rPr>
                <w:rFonts w:cs="SimSun"/>
                <w:bCs/>
                <w:color w:val="000000"/>
              </w:rPr>
              <w:t>Pontegadea Shareholdings Luxembourg</w:t>
            </w:r>
            <w:r w:rsidR="00787FCD">
              <w:rPr>
                <w:rFonts w:cs="SimSun" w:hint="eastAsia"/>
                <w:bCs/>
                <w:color w:val="000000"/>
              </w:rPr>
              <w:t>将收购</w:t>
            </w:r>
            <w:r w:rsidR="00787FCD">
              <w:rPr>
                <w:rFonts w:cs="SimSun" w:hint="eastAsia"/>
                <w:bCs/>
                <w:color w:val="000000"/>
              </w:rPr>
              <w:t>PD Ports Limited</w:t>
            </w:r>
            <w:r w:rsidR="00305950">
              <w:rPr>
                <w:rFonts w:cs="SimSun" w:hint="eastAsia"/>
                <w:bCs/>
                <w:color w:val="000000"/>
              </w:rPr>
              <w:t xml:space="preserve"> 49%</w:t>
            </w:r>
            <w:r w:rsidR="00305950">
              <w:rPr>
                <w:rFonts w:cs="SimSun" w:hint="eastAsia"/>
                <w:bCs/>
                <w:color w:val="000000"/>
              </w:rPr>
              <w:t>的</w:t>
            </w:r>
            <w:r w:rsidR="00C67B95">
              <w:rPr>
                <w:rFonts w:cs="SimSun" w:hint="eastAsia"/>
                <w:bCs/>
                <w:color w:val="000000"/>
              </w:rPr>
              <w:t>股份</w:t>
            </w:r>
            <w:r w:rsidR="0069572B">
              <w:rPr>
                <w:rFonts w:cs="SimSun" w:hint="eastAsia"/>
                <w:bCs/>
                <w:color w:val="000000"/>
              </w:rPr>
              <w:t>。</w:t>
            </w:r>
            <w:r w:rsidR="0069572B">
              <w:rPr>
                <w:rFonts w:cs="SimSun" w:hint="eastAsia"/>
                <w:bCs/>
                <w:color w:val="000000"/>
              </w:rPr>
              <w:t>PD Ports Limited</w:t>
            </w:r>
            <w:r w:rsidR="0069572B">
              <w:rPr>
                <w:rFonts w:cs="SimSun" w:hint="eastAsia"/>
                <w:bCs/>
                <w:color w:val="000000"/>
              </w:rPr>
              <w:t>主要在英国境内从事集装箱和干散杂货码头服务</w:t>
            </w:r>
            <w:r w:rsidR="0058258F">
              <w:rPr>
                <w:rFonts w:cs="SimSun" w:hint="eastAsia"/>
                <w:bCs/>
                <w:color w:val="000000"/>
              </w:rPr>
              <w:t>业务</w:t>
            </w:r>
            <w:r w:rsidR="0069572B">
              <w:rPr>
                <w:rFonts w:cs="SimSun" w:hint="eastAsia"/>
                <w:bCs/>
                <w:color w:val="000000"/>
              </w:rPr>
              <w:t>。交易前，博枫公司</w:t>
            </w:r>
            <w:r w:rsidR="00806466">
              <w:rPr>
                <w:rFonts w:cs="SimSun" w:hint="eastAsia"/>
                <w:bCs/>
                <w:color w:val="000000"/>
              </w:rPr>
              <w:t>持有</w:t>
            </w:r>
            <w:r w:rsidR="00806466">
              <w:rPr>
                <w:rFonts w:cs="SimSun" w:hint="eastAsia"/>
                <w:bCs/>
                <w:color w:val="000000"/>
              </w:rPr>
              <w:t>PD Ports Limited</w:t>
            </w:r>
            <w:r w:rsidR="00806466">
              <w:rPr>
                <w:rFonts w:cs="SimSun" w:hint="eastAsia"/>
                <w:bCs/>
                <w:color w:val="000000"/>
              </w:rPr>
              <w:t>约</w:t>
            </w:r>
            <w:r w:rsidR="00806466">
              <w:rPr>
                <w:rFonts w:cs="SimSun" w:hint="eastAsia"/>
                <w:bCs/>
                <w:color w:val="000000"/>
              </w:rPr>
              <w:t>93.22%</w:t>
            </w:r>
            <w:r w:rsidR="005B1F5E">
              <w:rPr>
                <w:rFonts w:cs="SimSun" w:hint="eastAsia"/>
                <w:bCs/>
                <w:color w:val="000000"/>
              </w:rPr>
              <w:t>的</w:t>
            </w:r>
            <w:r w:rsidR="00806466">
              <w:rPr>
                <w:rFonts w:cs="SimSun" w:hint="eastAsia"/>
                <w:bCs/>
                <w:color w:val="000000"/>
              </w:rPr>
              <w:t>股</w:t>
            </w:r>
            <w:r w:rsidR="00C67B95">
              <w:rPr>
                <w:rFonts w:cs="SimSun" w:hint="eastAsia"/>
                <w:bCs/>
                <w:color w:val="000000"/>
              </w:rPr>
              <w:t>份</w:t>
            </w:r>
            <w:r w:rsidR="00806466">
              <w:rPr>
                <w:rFonts w:cs="SimSun" w:hint="eastAsia"/>
                <w:bCs/>
                <w:color w:val="000000"/>
              </w:rPr>
              <w:t>，</w:t>
            </w:r>
            <w:r w:rsidR="0069572B">
              <w:rPr>
                <w:rFonts w:cs="SimSun" w:hint="eastAsia"/>
                <w:bCs/>
                <w:color w:val="000000"/>
              </w:rPr>
              <w:t>单独控制</w:t>
            </w:r>
            <w:r w:rsidR="0069572B">
              <w:rPr>
                <w:rFonts w:cs="SimSun" w:hint="eastAsia"/>
                <w:bCs/>
                <w:color w:val="000000"/>
              </w:rPr>
              <w:t>PD Ports Limited</w:t>
            </w:r>
            <w:r w:rsidR="0069572B">
              <w:rPr>
                <w:rFonts w:cs="SimSun" w:hint="eastAsia"/>
                <w:bCs/>
                <w:color w:val="000000"/>
              </w:rPr>
              <w:t>。交易后，</w:t>
            </w:r>
            <w:r w:rsidR="00E179AD" w:rsidRPr="006F5B4E">
              <w:rPr>
                <w:rFonts w:cs="SimSun"/>
                <w:bCs/>
                <w:color w:val="000000"/>
              </w:rPr>
              <w:t>Pontegadea Shareholdings Luxembourg</w:t>
            </w:r>
            <w:r w:rsidR="00E179AD">
              <w:rPr>
                <w:rFonts w:cs="SimSun" w:hint="eastAsia"/>
                <w:bCs/>
                <w:color w:val="000000"/>
              </w:rPr>
              <w:t>与博枫公司将</w:t>
            </w:r>
            <w:r w:rsidR="00E0369A">
              <w:rPr>
                <w:rFonts w:cs="SimSun" w:hint="eastAsia"/>
                <w:bCs/>
                <w:color w:val="000000"/>
              </w:rPr>
              <w:t>分别持有</w:t>
            </w:r>
            <w:r w:rsidR="00E0369A">
              <w:rPr>
                <w:rFonts w:cs="SimSun" w:hint="eastAsia"/>
                <w:bCs/>
                <w:color w:val="000000"/>
              </w:rPr>
              <w:t>PD Ports Limited 49%</w:t>
            </w:r>
            <w:r w:rsidR="00E0369A">
              <w:rPr>
                <w:rFonts w:cs="SimSun" w:hint="eastAsia"/>
                <w:bCs/>
                <w:color w:val="000000"/>
              </w:rPr>
              <w:t>与</w:t>
            </w:r>
            <w:r w:rsidR="00E0369A">
              <w:rPr>
                <w:rFonts w:cs="SimSun" w:hint="eastAsia"/>
                <w:bCs/>
                <w:color w:val="000000"/>
              </w:rPr>
              <w:t>51%</w:t>
            </w:r>
            <w:r w:rsidR="005B1F5E">
              <w:rPr>
                <w:rFonts w:cs="SimSun" w:hint="eastAsia"/>
                <w:bCs/>
                <w:color w:val="000000"/>
              </w:rPr>
              <w:t>的</w:t>
            </w:r>
            <w:r w:rsidR="00E0369A">
              <w:rPr>
                <w:rFonts w:cs="SimSun" w:hint="eastAsia"/>
                <w:bCs/>
                <w:color w:val="000000"/>
              </w:rPr>
              <w:t>股</w:t>
            </w:r>
            <w:r w:rsidR="00C67B95">
              <w:rPr>
                <w:rFonts w:cs="SimSun" w:hint="eastAsia"/>
                <w:bCs/>
                <w:color w:val="000000"/>
              </w:rPr>
              <w:t>份</w:t>
            </w:r>
            <w:r w:rsidR="00E0369A">
              <w:rPr>
                <w:rFonts w:cs="SimSun" w:hint="eastAsia"/>
                <w:bCs/>
                <w:color w:val="000000"/>
              </w:rPr>
              <w:t>，</w:t>
            </w:r>
            <w:r w:rsidR="004A4357" w:rsidRPr="004A4357">
              <w:rPr>
                <w:rFonts w:cs="SimSun" w:hint="eastAsia"/>
                <w:bCs/>
                <w:color w:val="000000"/>
              </w:rPr>
              <w:t>在中国反垄断法</w:t>
            </w:r>
            <w:r w:rsidR="004A4357">
              <w:rPr>
                <w:rFonts w:cs="SimSun" w:hint="eastAsia"/>
                <w:bCs/>
                <w:color w:val="000000"/>
              </w:rPr>
              <w:t>意义上</w:t>
            </w:r>
            <w:r w:rsidR="00E179AD">
              <w:rPr>
                <w:rFonts w:cs="SimSun" w:hint="eastAsia"/>
                <w:bCs/>
                <w:color w:val="000000"/>
              </w:rPr>
              <w:t>共同控制</w:t>
            </w:r>
            <w:r w:rsidR="00E179AD">
              <w:rPr>
                <w:rFonts w:cs="SimSun" w:hint="eastAsia"/>
                <w:bCs/>
                <w:color w:val="000000"/>
              </w:rPr>
              <w:t>PD Ports Limited</w:t>
            </w:r>
            <w:r w:rsidR="00E179AD">
              <w:rPr>
                <w:rFonts w:cs="SimSun" w:hint="eastAsia"/>
                <w:bCs/>
                <w:color w:val="000000"/>
              </w:rPr>
              <w:t>。</w:t>
            </w:r>
          </w:p>
        </w:tc>
      </w:tr>
      <w:tr w:rsidR="00AB1591" w:rsidRPr="00D04F62" w14:paraId="31172F65" w14:textId="77777777" w:rsidTr="00D758F5">
        <w:trPr>
          <w:trHeight w:val="942"/>
          <w:jc w:val="center"/>
        </w:trPr>
        <w:tc>
          <w:tcPr>
            <w:tcW w:w="2061" w:type="dxa"/>
            <w:vMerge w:val="restart"/>
            <w:shd w:val="clear" w:color="auto" w:fill="D9D9D9"/>
            <w:vAlign w:val="center"/>
          </w:tcPr>
          <w:p w14:paraId="056D54E7" w14:textId="77777777" w:rsidR="00AB1591" w:rsidRPr="00D04F6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  <w:r w:rsidRPr="00D04F62">
              <w:rPr>
                <w:rFonts w:cs="SimSun" w:hint="eastAsia"/>
                <w:bCs/>
                <w:color w:val="000000"/>
                <w:lang w:eastAsia="zh-CN"/>
              </w:rPr>
              <w:t>参与集中的经营者简介（每个限</w:t>
            </w:r>
            <w:r w:rsidRPr="00D04F62">
              <w:rPr>
                <w:rFonts w:cs="SimSun" w:hint="eastAsia"/>
                <w:bCs/>
                <w:color w:val="000000"/>
                <w:lang w:val="en-US" w:eastAsia="zh-CN"/>
              </w:rPr>
              <w:t>100</w:t>
            </w:r>
            <w:r w:rsidRPr="00D04F62">
              <w:rPr>
                <w:rFonts w:cs="SimSun" w:hint="eastAsia"/>
                <w:bCs/>
                <w:color w:val="000000"/>
                <w:lang w:val="en-US" w:eastAsia="zh-CN"/>
              </w:rPr>
              <w:t>字以内</w:t>
            </w:r>
            <w:r w:rsidRPr="00D04F62">
              <w:rPr>
                <w:rFonts w:cs="SimSun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796" w:type="dxa"/>
            <w:vAlign w:val="center"/>
          </w:tcPr>
          <w:p w14:paraId="4E5ED8B1" w14:textId="50FBD332" w:rsidR="00AB1591" w:rsidRPr="00D04F6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eastAsia="zh-CN"/>
              </w:rPr>
            </w:pPr>
            <w:r w:rsidRPr="00D04F62">
              <w:rPr>
                <w:rFonts w:cs="SimSun" w:hint="eastAsia"/>
                <w:bCs/>
                <w:color w:val="000000"/>
                <w:lang w:val="en-US" w:eastAsia="zh-CN"/>
              </w:rPr>
              <w:t>1.</w:t>
            </w:r>
            <w:r w:rsidR="009A648C">
              <w:rPr>
                <w:rFonts w:cs="SimSun" w:hint="eastAsia"/>
                <w:bCs/>
                <w:color w:val="000000"/>
                <w:lang w:val="en-US" w:eastAsia="zh-CN"/>
              </w:rPr>
              <w:t xml:space="preserve"> </w:t>
            </w:r>
            <w:r w:rsidR="009A648C" w:rsidRPr="006F5B4E">
              <w:rPr>
                <w:rFonts w:cs="SimSun"/>
                <w:bCs/>
                <w:color w:val="000000"/>
              </w:rPr>
              <w:t>Pontegadea Shareholdings Luxembourg</w:t>
            </w:r>
          </w:p>
        </w:tc>
        <w:tc>
          <w:tcPr>
            <w:tcW w:w="5783" w:type="dxa"/>
            <w:vAlign w:val="center"/>
          </w:tcPr>
          <w:p w14:paraId="19B47FEE" w14:textId="77777777" w:rsidR="00AB1591" w:rsidRDefault="004523B7" w:rsidP="00D758F5">
            <w:pPr>
              <w:widowControl w:val="0"/>
              <w:adjustRightInd w:val="0"/>
              <w:snapToGrid w:val="0"/>
              <w:spacing w:after="0"/>
              <w:rPr>
                <w:rFonts w:cs="SimSun"/>
                <w:bCs/>
                <w:color w:val="000000"/>
              </w:rPr>
            </w:pPr>
            <w:r w:rsidRPr="006F5B4E">
              <w:rPr>
                <w:rFonts w:cs="SimSun"/>
                <w:bCs/>
                <w:color w:val="000000"/>
              </w:rPr>
              <w:t>Pontegadea Shareholdings Luxembourg</w:t>
            </w:r>
            <w:r w:rsidR="00196887">
              <w:rPr>
                <w:rFonts w:cs="SimSun" w:hint="eastAsia"/>
                <w:bCs/>
                <w:color w:val="000000"/>
              </w:rPr>
              <w:t>于</w:t>
            </w:r>
            <w:r w:rsidR="00196887">
              <w:rPr>
                <w:rFonts w:cs="SimSun" w:hint="eastAsia"/>
                <w:bCs/>
                <w:color w:val="000000"/>
              </w:rPr>
              <w:t>2024</w:t>
            </w:r>
            <w:r w:rsidR="00196887">
              <w:rPr>
                <w:rFonts w:cs="SimSun" w:hint="eastAsia"/>
                <w:bCs/>
                <w:color w:val="000000"/>
              </w:rPr>
              <w:t>年</w:t>
            </w:r>
            <w:r w:rsidR="00196887">
              <w:rPr>
                <w:rFonts w:cs="SimSun" w:hint="eastAsia"/>
                <w:bCs/>
                <w:color w:val="000000"/>
              </w:rPr>
              <w:t>12</w:t>
            </w:r>
            <w:r w:rsidR="00196887">
              <w:rPr>
                <w:rFonts w:cs="SimSun" w:hint="eastAsia"/>
                <w:bCs/>
                <w:color w:val="000000"/>
              </w:rPr>
              <w:t>月</w:t>
            </w:r>
            <w:r w:rsidR="00196887">
              <w:rPr>
                <w:rFonts w:cs="SimSun" w:hint="eastAsia"/>
                <w:bCs/>
                <w:color w:val="000000"/>
              </w:rPr>
              <w:t>11</w:t>
            </w:r>
            <w:r w:rsidR="00196887">
              <w:rPr>
                <w:rFonts w:cs="SimSun" w:hint="eastAsia"/>
                <w:bCs/>
                <w:color w:val="000000"/>
              </w:rPr>
              <w:t>日成立于卢森堡，主要业务为股权投资。</w:t>
            </w:r>
          </w:p>
          <w:p w14:paraId="3E612D64" w14:textId="56B74CBF" w:rsidR="00FF6C73" w:rsidRPr="00D04F62" w:rsidRDefault="00FF6C73" w:rsidP="00D758F5">
            <w:pPr>
              <w:widowControl w:val="0"/>
              <w:adjustRightInd w:val="0"/>
              <w:snapToGrid w:val="0"/>
              <w:spacing w:after="0"/>
              <w:rPr>
                <w:rFonts w:cs="SimSun"/>
                <w:bCs/>
                <w:color w:val="000000"/>
              </w:rPr>
            </w:pPr>
            <w:r w:rsidRPr="006F5B4E">
              <w:rPr>
                <w:rFonts w:cs="SimSun"/>
                <w:bCs/>
                <w:color w:val="000000"/>
              </w:rPr>
              <w:t>Pontegadea Shareholdings Luxembourg</w:t>
            </w:r>
            <w:r w:rsidR="00356B76">
              <w:rPr>
                <w:rFonts w:cs="SimSun" w:hint="eastAsia"/>
                <w:bCs/>
                <w:color w:val="000000"/>
              </w:rPr>
              <w:t>最终控制人为西班牙籍自然人</w:t>
            </w:r>
            <w:r w:rsidR="00330A30">
              <w:rPr>
                <w:rFonts w:cs="SimSun" w:hint="eastAsia"/>
                <w:bCs/>
                <w:color w:val="000000"/>
              </w:rPr>
              <w:t>，主要业务为通过其家族办公室</w:t>
            </w:r>
            <w:r w:rsidR="00486416" w:rsidRPr="00486416">
              <w:rPr>
                <w:rFonts w:cs="SimSun"/>
                <w:bCs/>
                <w:color w:val="000000"/>
              </w:rPr>
              <w:t>Pontegadea</w:t>
            </w:r>
            <w:r w:rsidR="00A677F1">
              <w:rPr>
                <w:rFonts w:cs="SimSun" w:hint="eastAsia"/>
                <w:bCs/>
                <w:color w:val="000000"/>
              </w:rPr>
              <w:t>开展股权投资、时尚</w:t>
            </w:r>
            <w:r w:rsidR="003E4088">
              <w:rPr>
                <w:rFonts w:cs="SimSun" w:hint="eastAsia"/>
                <w:bCs/>
                <w:color w:val="000000"/>
              </w:rPr>
              <w:t>与</w:t>
            </w:r>
            <w:r w:rsidR="00A677F1">
              <w:rPr>
                <w:rFonts w:cs="SimSun" w:hint="eastAsia"/>
                <w:bCs/>
                <w:color w:val="000000"/>
              </w:rPr>
              <w:t>房地产业务。</w:t>
            </w:r>
          </w:p>
        </w:tc>
      </w:tr>
      <w:tr w:rsidR="00AB1591" w:rsidRPr="00D04F62" w14:paraId="03FED3EA" w14:textId="77777777" w:rsidTr="00D758F5">
        <w:trPr>
          <w:trHeight w:val="984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6181F5E7" w14:textId="77777777" w:rsidR="00AB1591" w:rsidRPr="00D04F6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 w14:paraId="51C3924F" w14:textId="0FC87667" w:rsidR="00AB1591" w:rsidRPr="00D04F6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eastAsia="zh-CN"/>
              </w:rPr>
            </w:pPr>
            <w:r w:rsidRPr="00D04F62">
              <w:rPr>
                <w:rFonts w:cs="SimSun" w:hint="eastAsia"/>
                <w:bCs/>
                <w:color w:val="000000"/>
                <w:lang w:val="en-US" w:eastAsia="zh-CN"/>
              </w:rPr>
              <w:t>2.</w:t>
            </w:r>
            <w:r w:rsidR="00052667">
              <w:rPr>
                <w:rFonts w:cs="SimSun" w:hint="eastAsia"/>
                <w:bCs/>
                <w:color w:val="000000"/>
                <w:lang w:val="en-US" w:eastAsia="zh-CN"/>
              </w:rPr>
              <w:t xml:space="preserve"> </w:t>
            </w:r>
            <w:r w:rsidR="00052667">
              <w:rPr>
                <w:rFonts w:cs="SimSun" w:hint="eastAsia"/>
                <w:bCs/>
                <w:color w:val="000000"/>
                <w:lang w:val="en-US" w:eastAsia="zh-CN"/>
              </w:rPr>
              <w:t>博枫公司</w:t>
            </w:r>
          </w:p>
        </w:tc>
        <w:tc>
          <w:tcPr>
            <w:tcW w:w="5783" w:type="dxa"/>
            <w:vAlign w:val="center"/>
          </w:tcPr>
          <w:p w14:paraId="2CCAF60D" w14:textId="2F1531A1" w:rsidR="003B1EE4" w:rsidRPr="003B1EE4" w:rsidRDefault="003B1EE4" w:rsidP="003B1EE4">
            <w:pPr>
              <w:adjustRightInd w:val="0"/>
              <w:snapToGrid w:val="0"/>
              <w:spacing w:after="0"/>
              <w:rPr>
                <w:rFonts w:cs="SimSun"/>
                <w:bCs/>
                <w:color w:val="000000"/>
              </w:rPr>
            </w:pPr>
            <w:proofErr w:type="gramStart"/>
            <w:r w:rsidRPr="003B1EE4">
              <w:rPr>
                <w:rFonts w:cs="SimSun" w:hint="eastAsia"/>
                <w:bCs/>
                <w:color w:val="000000"/>
              </w:rPr>
              <w:t>博枫</w:t>
            </w:r>
            <w:r>
              <w:rPr>
                <w:rFonts w:cs="SimSun" w:hint="eastAsia"/>
                <w:bCs/>
                <w:color w:val="000000"/>
              </w:rPr>
              <w:t>公司</w:t>
            </w:r>
            <w:proofErr w:type="gramEnd"/>
            <w:r w:rsidRPr="003B1EE4">
              <w:rPr>
                <w:rFonts w:cs="SimSun" w:hint="eastAsia"/>
                <w:bCs/>
                <w:color w:val="000000"/>
              </w:rPr>
              <w:t>于</w:t>
            </w:r>
            <w:r w:rsidRPr="003B1EE4">
              <w:rPr>
                <w:rFonts w:cs="SimSun" w:hint="eastAsia"/>
                <w:bCs/>
                <w:color w:val="000000"/>
              </w:rPr>
              <w:t>2005</w:t>
            </w:r>
            <w:r w:rsidRPr="003B1EE4">
              <w:rPr>
                <w:rFonts w:cs="SimSun" w:hint="eastAsia"/>
                <w:bCs/>
                <w:color w:val="000000"/>
              </w:rPr>
              <w:t>年</w:t>
            </w:r>
            <w:r w:rsidRPr="003B1EE4">
              <w:rPr>
                <w:rFonts w:cs="SimSun" w:hint="eastAsia"/>
                <w:bCs/>
                <w:color w:val="000000"/>
              </w:rPr>
              <w:t>1</w:t>
            </w:r>
            <w:r w:rsidRPr="003B1EE4">
              <w:rPr>
                <w:rFonts w:cs="SimSun" w:hint="eastAsia"/>
                <w:bCs/>
                <w:color w:val="000000"/>
              </w:rPr>
              <w:t>月</w:t>
            </w:r>
            <w:r w:rsidRPr="003B1EE4">
              <w:rPr>
                <w:rFonts w:cs="SimSun" w:hint="eastAsia"/>
                <w:bCs/>
                <w:color w:val="000000"/>
              </w:rPr>
              <w:t>1</w:t>
            </w:r>
            <w:r w:rsidRPr="003B1EE4">
              <w:rPr>
                <w:rFonts w:cs="SimSun" w:hint="eastAsia"/>
                <w:bCs/>
                <w:color w:val="000000"/>
              </w:rPr>
              <w:t>日成立于加拿大，为纽约证券交易所和多伦多证券交易所上市公司。</w:t>
            </w:r>
            <w:proofErr w:type="gramStart"/>
            <w:r w:rsidR="0019714E" w:rsidRPr="0019714E">
              <w:rPr>
                <w:rFonts w:cs="SimSun" w:hint="eastAsia"/>
                <w:bCs/>
                <w:color w:val="000000"/>
              </w:rPr>
              <w:t>博枫</w:t>
            </w:r>
            <w:r w:rsidR="00B75194">
              <w:rPr>
                <w:rFonts w:cs="SimSun" w:hint="eastAsia"/>
                <w:bCs/>
                <w:color w:val="000000"/>
              </w:rPr>
              <w:t>公司</w:t>
            </w:r>
            <w:proofErr w:type="gramEnd"/>
            <w:r w:rsidR="0019714E" w:rsidRPr="0019714E">
              <w:rPr>
                <w:rFonts w:cs="SimSun" w:hint="eastAsia"/>
                <w:bCs/>
                <w:color w:val="000000"/>
              </w:rPr>
              <w:t>是一家全球性投资公司，主要从事资产管理和运营业务，专注于可再生能源和转型、基础设施、私</w:t>
            </w:r>
            <w:proofErr w:type="gramStart"/>
            <w:r w:rsidR="0019714E" w:rsidRPr="0019714E">
              <w:rPr>
                <w:rFonts w:cs="SimSun" w:hint="eastAsia"/>
                <w:bCs/>
                <w:color w:val="000000"/>
              </w:rPr>
              <w:t>募股权</w:t>
            </w:r>
            <w:proofErr w:type="gramEnd"/>
            <w:r w:rsidR="0019714E" w:rsidRPr="0019714E">
              <w:rPr>
                <w:rFonts w:cs="SimSun" w:hint="eastAsia"/>
                <w:bCs/>
                <w:color w:val="000000"/>
              </w:rPr>
              <w:t>和房地产领域投资。</w:t>
            </w:r>
          </w:p>
          <w:p w14:paraId="29E2FC89" w14:textId="09B8B655" w:rsidR="00AB1591" w:rsidRPr="00D04F62" w:rsidRDefault="003B1EE4" w:rsidP="003B1EE4">
            <w:pPr>
              <w:adjustRightInd w:val="0"/>
              <w:snapToGrid w:val="0"/>
              <w:spacing w:after="0"/>
              <w:rPr>
                <w:rFonts w:cs="SimSun"/>
                <w:bCs/>
                <w:color w:val="000000"/>
              </w:rPr>
            </w:pPr>
            <w:proofErr w:type="gramStart"/>
            <w:r w:rsidRPr="003B1EE4">
              <w:rPr>
                <w:rFonts w:cs="SimSun" w:hint="eastAsia"/>
                <w:bCs/>
                <w:color w:val="000000"/>
              </w:rPr>
              <w:t>博枫</w:t>
            </w:r>
            <w:r w:rsidR="00943250">
              <w:rPr>
                <w:rFonts w:cs="SimSun" w:hint="eastAsia"/>
                <w:bCs/>
                <w:color w:val="000000"/>
              </w:rPr>
              <w:t>公司</w:t>
            </w:r>
            <w:r w:rsidR="001C67E2">
              <w:rPr>
                <w:rFonts w:cs="SimSun" w:hint="eastAsia"/>
                <w:bCs/>
                <w:color w:val="000000"/>
              </w:rPr>
              <w:t>无</w:t>
            </w:r>
            <w:r w:rsidRPr="003B1EE4">
              <w:rPr>
                <w:rFonts w:cs="SimSun" w:hint="eastAsia"/>
                <w:bCs/>
                <w:color w:val="000000"/>
              </w:rPr>
              <w:t>最终</w:t>
            </w:r>
            <w:proofErr w:type="gramEnd"/>
            <w:r w:rsidRPr="003B1EE4">
              <w:rPr>
                <w:rFonts w:cs="SimSun" w:hint="eastAsia"/>
                <w:bCs/>
                <w:color w:val="000000"/>
              </w:rPr>
              <w:t>控制人。</w:t>
            </w:r>
          </w:p>
        </w:tc>
      </w:tr>
      <w:tr w:rsidR="00AB1591" w:rsidRPr="00D04F62" w14:paraId="501E4A19" w14:textId="77777777" w:rsidTr="00D758F5">
        <w:trPr>
          <w:trHeight w:val="367"/>
          <w:jc w:val="center"/>
        </w:trPr>
        <w:tc>
          <w:tcPr>
            <w:tcW w:w="2061" w:type="dxa"/>
            <w:vMerge w:val="restart"/>
            <w:shd w:val="clear" w:color="auto" w:fill="D9D9D9"/>
            <w:vAlign w:val="center"/>
          </w:tcPr>
          <w:p w14:paraId="621457B3" w14:textId="77777777" w:rsidR="00AB1591" w:rsidRPr="00D04F6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  <w:r w:rsidRPr="00D04F62">
              <w:rPr>
                <w:rFonts w:cs="SimSun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579" w:type="dxa"/>
            <w:gridSpan w:val="2"/>
            <w:vAlign w:val="center"/>
          </w:tcPr>
          <w:p w14:paraId="417567DC" w14:textId="510376D0" w:rsidR="00AB1591" w:rsidRPr="00D04F62" w:rsidRDefault="00902B5C" w:rsidP="004371F0">
            <w:pPr>
              <w:pStyle w:val="BodyText"/>
              <w:adjustRightInd w:val="0"/>
              <w:snapToGrid w:val="0"/>
              <w:spacing w:after="0"/>
              <w:jc w:val="left"/>
              <w:rPr>
                <w:rFonts w:cs="SimSun"/>
                <w:bCs/>
                <w:color w:val="000000"/>
                <w:lang w:val="en-US" w:eastAsia="zh-CN"/>
              </w:rPr>
            </w:pPr>
            <w:r w:rsidRPr="00D04F62">
              <w:rPr>
                <w:rFonts w:cs="SimSun" w:hint="eastAsia"/>
                <w:bCs/>
                <w:color w:val="000000"/>
                <w:lang w:eastAsia="zh-CN"/>
              </w:rPr>
              <w:sym w:font="Wingdings" w:char="00A8"/>
            </w:r>
            <w:r w:rsidR="00AB1591" w:rsidRPr="00D04F62">
              <w:rPr>
                <w:rFonts w:cs="SimSun" w:hint="eastAsia"/>
                <w:bCs/>
                <w:color w:val="000000"/>
                <w:lang w:eastAsia="zh-CN"/>
              </w:rPr>
              <w:t xml:space="preserve"> 1.</w:t>
            </w:r>
            <w:r w:rsidR="00AB1591" w:rsidRPr="00D04F62">
              <w:rPr>
                <w:rFonts w:cs="SimSun" w:hint="eastAsia"/>
                <w:bCs/>
                <w:color w:val="000000"/>
                <w:lang w:eastAsia="zh-CN"/>
              </w:rPr>
              <w:t>在同一相关市场，参与集中的经营者所占的市场份额之和小于</w:t>
            </w:r>
            <w:r w:rsidR="00AB1591" w:rsidRPr="00D04F62">
              <w:rPr>
                <w:rFonts w:cs="SimSun" w:hint="eastAsia"/>
                <w:bCs/>
                <w:color w:val="000000"/>
                <w:lang w:eastAsia="zh-CN"/>
              </w:rPr>
              <w:t>15%</w:t>
            </w:r>
            <w:r w:rsidR="00AB1591" w:rsidRPr="00D04F62">
              <w:rPr>
                <w:rFonts w:cs="SimSun" w:hint="eastAsia"/>
                <w:bCs/>
                <w:color w:val="000000"/>
                <w:lang w:eastAsia="zh-CN"/>
              </w:rPr>
              <w:t>。</w:t>
            </w:r>
          </w:p>
        </w:tc>
      </w:tr>
      <w:tr w:rsidR="00AB1591" w:rsidRPr="00D04F62" w14:paraId="0A058781" w14:textId="77777777" w:rsidTr="00D758F5">
        <w:trPr>
          <w:trHeight w:val="163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350D7F7E" w14:textId="77777777" w:rsidR="00AB1591" w:rsidRPr="00D04F6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61E0D984" w14:textId="6F1080C4" w:rsidR="00AB1591" w:rsidRPr="00D04F62" w:rsidRDefault="002703AE" w:rsidP="004371F0">
            <w:pPr>
              <w:pStyle w:val="BodyText"/>
              <w:adjustRightInd w:val="0"/>
              <w:snapToGrid w:val="0"/>
              <w:spacing w:after="0"/>
              <w:jc w:val="left"/>
              <w:rPr>
                <w:rFonts w:cs="SimSun"/>
                <w:bCs/>
                <w:color w:val="000000"/>
                <w:lang w:val="en-US" w:eastAsia="zh-CN"/>
              </w:rPr>
            </w:pPr>
            <w:r w:rsidRPr="00D04F62">
              <w:rPr>
                <w:rFonts w:cs="SimSun" w:hint="eastAsia"/>
                <w:bCs/>
                <w:color w:val="000000"/>
                <w:lang w:eastAsia="zh-CN"/>
              </w:rPr>
              <w:sym w:font="Wingdings" w:char="00A8"/>
            </w:r>
            <w:r w:rsidR="00AB1591" w:rsidRPr="00D04F62">
              <w:rPr>
                <w:rFonts w:cs="SimSun" w:hint="eastAsia"/>
                <w:bCs/>
                <w:color w:val="000000"/>
                <w:lang w:eastAsia="zh-CN"/>
              </w:rPr>
              <w:t xml:space="preserve"> 2.</w:t>
            </w:r>
            <w:r w:rsidR="00AB1591" w:rsidRPr="00D04F62">
              <w:rPr>
                <w:rFonts w:cs="SimSun" w:hint="eastAsia"/>
                <w:bCs/>
                <w:color w:val="000000"/>
                <w:lang w:eastAsia="zh-CN"/>
              </w:rPr>
              <w:t>在上下游市场，参与集中的经营者所占的市场份额均小于</w:t>
            </w:r>
            <w:r w:rsidR="00AB1591" w:rsidRPr="00D04F62">
              <w:rPr>
                <w:rFonts w:cs="SimSun" w:hint="eastAsia"/>
                <w:bCs/>
                <w:color w:val="000000"/>
                <w:lang w:eastAsia="zh-CN"/>
              </w:rPr>
              <w:t>25%</w:t>
            </w:r>
            <w:r w:rsidR="00AB1591" w:rsidRPr="00D04F62">
              <w:rPr>
                <w:rFonts w:cs="SimSun" w:hint="eastAsia"/>
                <w:bCs/>
                <w:color w:val="000000"/>
                <w:lang w:eastAsia="zh-CN"/>
              </w:rPr>
              <w:t>。</w:t>
            </w:r>
          </w:p>
        </w:tc>
      </w:tr>
      <w:tr w:rsidR="00AB1591" w:rsidRPr="00D04F62" w14:paraId="19E202C9" w14:textId="77777777" w:rsidTr="00D758F5">
        <w:trPr>
          <w:trHeight w:val="267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112C1E95" w14:textId="77777777" w:rsidR="00AB1591" w:rsidRPr="00D04F6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649DEEE0" w14:textId="77777777" w:rsidR="00AB1591" w:rsidRPr="00D04F62" w:rsidRDefault="00AB1591" w:rsidP="004371F0">
            <w:pPr>
              <w:pStyle w:val="BodyText"/>
              <w:adjustRightInd w:val="0"/>
              <w:snapToGrid w:val="0"/>
              <w:spacing w:after="0"/>
              <w:jc w:val="left"/>
              <w:rPr>
                <w:rFonts w:cs="SimSun"/>
                <w:bCs/>
                <w:color w:val="000000"/>
                <w:lang w:val="en-US" w:eastAsia="zh-CN"/>
              </w:rPr>
            </w:pPr>
            <w:r w:rsidRPr="00D04F62">
              <w:rPr>
                <w:rFonts w:cs="SimSun" w:hint="eastAsia"/>
                <w:bCs/>
                <w:color w:val="000000"/>
                <w:lang w:eastAsia="zh-CN"/>
              </w:rPr>
              <w:sym w:font="Wingdings" w:char="00A8"/>
            </w:r>
            <w:r w:rsidRPr="00D04F62">
              <w:rPr>
                <w:rFonts w:cs="SimSun" w:hint="eastAsia"/>
                <w:bCs/>
                <w:color w:val="000000"/>
                <w:lang w:eastAsia="zh-CN"/>
              </w:rPr>
              <w:t xml:space="preserve"> 3.</w:t>
            </w:r>
            <w:r w:rsidRPr="00D04F62">
              <w:rPr>
                <w:rFonts w:cs="SimSun" w:hint="eastAsia"/>
                <w:bCs/>
                <w:color w:val="000000"/>
                <w:lang w:eastAsia="zh-CN"/>
              </w:rPr>
              <w:t>不在同一相关市场也不存在上下游关系的参与集中的经营者，在与交易有关的每个市场所占的市场份额均小于</w:t>
            </w:r>
            <w:r w:rsidRPr="00D04F62">
              <w:rPr>
                <w:rFonts w:cs="SimSun" w:hint="eastAsia"/>
                <w:bCs/>
                <w:color w:val="000000"/>
                <w:lang w:eastAsia="zh-CN"/>
              </w:rPr>
              <w:t>25%</w:t>
            </w:r>
            <w:r w:rsidRPr="00D04F62">
              <w:rPr>
                <w:rFonts w:cs="SimSun" w:hint="eastAsia"/>
                <w:bCs/>
                <w:color w:val="000000"/>
                <w:lang w:eastAsia="zh-CN"/>
              </w:rPr>
              <w:t>。</w:t>
            </w:r>
          </w:p>
        </w:tc>
      </w:tr>
      <w:tr w:rsidR="00AB1591" w:rsidRPr="00D04F62" w14:paraId="496AF483" w14:textId="77777777" w:rsidTr="00D758F5">
        <w:trPr>
          <w:trHeight w:val="617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0E9192B8" w14:textId="77777777" w:rsidR="00AB1591" w:rsidRPr="00D04F6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01B64B14" w14:textId="77777777" w:rsidR="00AB1591" w:rsidRPr="00D04F62" w:rsidRDefault="00AB1591" w:rsidP="004371F0">
            <w:pPr>
              <w:pStyle w:val="BodyText"/>
              <w:pageBreakBefore/>
              <w:widowControl w:val="0"/>
              <w:adjustRightInd w:val="0"/>
              <w:snapToGrid w:val="0"/>
              <w:spacing w:after="0"/>
              <w:jc w:val="left"/>
              <w:rPr>
                <w:rFonts w:cs="SimSun"/>
                <w:bCs/>
                <w:color w:val="000000"/>
                <w:lang w:val="en-US" w:eastAsia="zh-CN"/>
              </w:rPr>
            </w:pPr>
            <w:r w:rsidRPr="00D04F62">
              <w:rPr>
                <w:rFonts w:cs="SimSun" w:hint="eastAsia"/>
                <w:bCs/>
                <w:color w:val="000000"/>
                <w:lang w:eastAsia="zh-CN"/>
              </w:rPr>
              <w:sym w:font="Wingdings" w:char="00A8"/>
            </w:r>
            <w:r w:rsidRPr="00D04F62">
              <w:rPr>
                <w:rFonts w:cs="SimSun" w:hint="eastAsia"/>
                <w:bCs/>
                <w:color w:val="000000"/>
                <w:lang w:eastAsia="zh-CN"/>
              </w:rPr>
              <w:t xml:space="preserve"> 4.</w:t>
            </w:r>
            <w:r w:rsidRPr="00D04F62">
              <w:rPr>
                <w:rFonts w:cs="SimSun" w:hint="eastAsia"/>
                <w:bCs/>
                <w:color w:val="000000"/>
                <w:lang w:eastAsia="zh-CN"/>
              </w:rPr>
              <w:t>参与集中的经营者在中国境外设立合营企业，合营企业不在中国境内从事经济活动。</w:t>
            </w:r>
          </w:p>
        </w:tc>
      </w:tr>
      <w:tr w:rsidR="00AB1591" w:rsidRPr="00D04F62" w14:paraId="7734741B" w14:textId="77777777" w:rsidTr="00D758F5">
        <w:trPr>
          <w:trHeight w:val="285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273332EA" w14:textId="77777777" w:rsidR="00AB1591" w:rsidRPr="00D04F6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72350602" w14:textId="79C53940" w:rsidR="00AB1591" w:rsidRPr="00D04F62" w:rsidRDefault="007F3FF2" w:rsidP="004371F0">
            <w:pPr>
              <w:pStyle w:val="BodyText"/>
              <w:adjustRightInd w:val="0"/>
              <w:snapToGrid w:val="0"/>
              <w:spacing w:after="0"/>
              <w:jc w:val="left"/>
              <w:rPr>
                <w:rFonts w:cs="SimSun"/>
                <w:bCs/>
                <w:color w:val="000000"/>
                <w:lang w:val="en-US" w:eastAsia="zh-CN"/>
              </w:rPr>
            </w:pPr>
            <w:r w:rsidRPr="00D04F62">
              <w:rPr>
                <w:rFonts w:cs="SimSun" w:hint="eastAsia"/>
                <w:bCs/>
                <w:color w:val="000000"/>
                <w:lang w:eastAsia="zh-CN"/>
              </w:rPr>
              <w:sym w:font="Wingdings" w:char="00FE"/>
            </w:r>
            <w:r w:rsidRPr="00D04F62">
              <w:rPr>
                <w:rFonts w:cs="SimSun" w:hint="eastAsia"/>
                <w:bCs/>
                <w:color w:val="000000"/>
                <w:lang w:eastAsia="zh-CN"/>
              </w:rPr>
              <w:t xml:space="preserve"> </w:t>
            </w:r>
            <w:r w:rsidR="00AB1591" w:rsidRPr="00D04F62">
              <w:rPr>
                <w:rFonts w:cs="SimSun" w:hint="eastAsia"/>
                <w:bCs/>
                <w:color w:val="000000"/>
                <w:lang w:eastAsia="zh-CN"/>
              </w:rPr>
              <w:t>5.</w:t>
            </w:r>
            <w:r w:rsidR="00AB1591" w:rsidRPr="00D04F62">
              <w:rPr>
                <w:rFonts w:cs="SimSun" w:hint="eastAsia"/>
                <w:bCs/>
                <w:color w:val="000000"/>
                <w:lang w:eastAsia="zh-CN"/>
              </w:rPr>
              <w:t>参与集中的经营者收购境外企业股权或资产的，该境外企业不在中国境内从事经济活动。</w:t>
            </w:r>
          </w:p>
        </w:tc>
      </w:tr>
      <w:tr w:rsidR="00AB1591" w:rsidRPr="00D04F62" w14:paraId="7849EFAA" w14:textId="77777777" w:rsidTr="00D758F5">
        <w:trPr>
          <w:trHeight w:val="345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325739E7" w14:textId="77777777" w:rsidR="00AB1591" w:rsidRPr="00D04F6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575523C4" w14:textId="77777777" w:rsidR="00AB1591" w:rsidRPr="00D04F62" w:rsidRDefault="00AB1591" w:rsidP="004371F0">
            <w:pPr>
              <w:pStyle w:val="BodyText"/>
              <w:adjustRightInd w:val="0"/>
              <w:snapToGrid w:val="0"/>
              <w:spacing w:after="0"/>
              <w:jc w:val="left"/>
              <w:rPr>
                <w:rFonts w:cs="SimSun"/>
                <w:bCs/>
                <w:color w:val="000000"/>
                <w:lang w:val="en-US" w:eastAsia="zh-CN"/>
              </w:rPr>
            </w:pPr>
            <w:r w:rsidRPr="00D04F62">
              <w:rPr>
                <w:rFonts w:cs="SimSun" w:hint="eastAsia"/>
                <w:bCs/>
                <w:color w:val="000000"/>
                <w:lang w:eastAsia="zh-CN"/>
              </w:rPr>
              <w:sym w:font="Wingdings" w:char="00A8"/>
            </w:r>
            <w:r w:rsidRPr="00D04F62">
              <w:rPr>
                <w:rFonts w:cs="SimSun" w:hint="eastAsia"/>
                <w:bCs/>
                <w:color w:val="000000"/>
                <w:lang w:eastAsia="zh-CN"/>
              </w:rPr>
              <w:t xml:space="preserve"> 6.</w:t>
            </w:r>
            <w:r w:rsidRPr="00D04F62">
              <w:rPr>
                <w:rFonts w:cs="SimSun" w:hint="eastAsia"/>
                <w:bCs/>
                <w:color w:val="000000"/>
                <w:lang w:eastAsia="zh-CN"/>
              </w:rPr>
              <w:t>由两个以上的经营者共同控制的合营企业，通过集中被其中一个或一个以上经营者控制。</w:t>
            </w:r>
          </w:p>
        </w:tc>
      </w:tr>
      <w:tr w:rsidR="00AB1591" w:rsidRPr="00D04F62" w14:paraId="766EFD51" w14:textId="77777777" w:rsidTr="00D758F5">
        <w:trPr>
          <w:trHeight w:val="1250"/>
          <w:jc w:val="center"/>
        </w:trPr>
        <w:tc>
          <w:tcPr>
            <w:tcW w:w="2061" w:type="dxa"/>
            <w:shd w:val="clear" w:color="auto" w:fill="D9D9D9"/>
            <w:vAlign w:val="center"/>
          </w:tcPr>
          <w:p w14:paraId="477C4850" w14:textId="77777777" w:rsidR="00AB1591" w:rsidRPr="00D04F62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  <w:r w:rsidRPr="00D04F62">
              <w:rPr>
                <w:rFonts w:cs="SimSun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579" w:type="dxa"/>
            <w:gridSpan w:val="2"/>
            <w:vAlign w:val="center"/>
          </w:tcPr>
          <w:p w14:paraId="70187C8C" w14:textId="183893BF" w:rsidR="00AB1591" w:rsidRPr="00B17E96" w:rsidRDefault="00B17E96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</w:rPr>
            </w:pPr>
            <w:r>
              <w:rPr>
                <w:rFonts w:cs="SimSun" w:hint="eastAsia"/>
                <w:bCs/>
                <w:color w:val="000000"/>
                <w:lang w:eastAsia="zh-CN"/>
              </w:rPr>
              <w:t>不适用</w:t>
            </w:r>
          </w:p>
        </w:tc>
      </w:tr>
    </w:tbl>
    <w:p w14:paraId="0D8914B2" w14:textId="43E3242E" w:rsidR="00AB1591" w:rsidRPr="00D04F62" w:rsidRDefault="00AB1591" w:rsidP="00F372D2">
      <w:pPr>
        <w:pStyle w:val="BodyText"/>
        <w:adjustRightInd w:val="0"/>
        <w:snapToGrid w:val="0"/>
        <w:spacing w:after="0"/>
        <w:rPr>
          <w:rFonts w:cs="SimSun"/>
          <w:bCs/>
          <w:color w:val="000000"/>
          <w:lang w:eastAsia="zh-CN"/>
        </w:rPr>
      </w:pPr>
    </w:p>
    <w:sectPr w:rsidR="00AB1591" w:rsidRPr="00D04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C9A9A" w14:textId="77777777" w:rsidR="009C2C05" w:rsidRDefault="009C2C05">
      <w:pPr>
        <w:spacing w:after="0"/>
      </w:pPr>
      <w:r>
        <w:separator/>
      </w:r>
    </w:p>
  </w:endnote>
  <w:endnote w:type="continuationSeparator" w:id="0">
    <w:p w14:paraId="79D4CC34" w14:textId="77777777" w:rsidR="009C2C05" w:rsidRDefault="009C2C05">
      <w:pPr>
        <w:spacing w:after="0"/>
      </w:pPr>
      <w:r>
        <w:continuationSeparator/>
      </w:r>
    </w:p>
  </w:endnote>
  <w:endnote w:type="continuationNotice" w:id="1">
    <w:p w14:paraId="7E0E99DC" w14:textId="77777777" w:rsidR="009C2C05" w:rsidRDefault="009C2C0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55692" w14:textId="77777777" w:rsidR="00A136C7" w:rsidRDefault="00A13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23172" w14:textId="77777777" w:rsidR="00A136C7" w:rsidRDefault="00A136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B30FB" w14:textId="77777777" w:rsidR="00A136C7" w:rsidRDefault="00A13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AAF98" w14:textId="77777777" w:rsidR="009C2C05" w:rsidRDefault="009C2C05">
      <w:pPr>
        <w:spacing w:after="0"/>
      </w:pPr>
      <w:r>
        <w:separator/>
      </w:r>
    </w:p>
  </w:footnote>
  <w:footnote w:type="continuationSeparator" w:id="0">
    <w:p w14:paraId="513FFC40" w14:textId="77777777" w:rsidR="009C2C05" w:rsidRDefault="009C2C05">
      <w:pPr>
        <w:spacing w:after="0"/>
      </w:pPr>
      <w:r>
        <w:continuationSeparator/>
      </w:r>
    </w:p>
  </w:footnote>
  <w:footnote w:type="continuationNotice" w:id="1">
    <w:p w14:paraId="572020AB" w14:textId="77777777" w:rsidR="009C2C05" w:rsidRDefault="009C2C0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B7433" w14:textId="77777777" w:rsidR="00A136C7" w:rsidRDefault="00A13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E00FC" w14:textId="77777777" w:rsidR="00A136C7" w:rsidRDefault="00A136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C06D9" w14:textId="77777777" w:rsidR="00A136C7" w:rsidRDefault="00A13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95CAD"/>
    <w:multiLevelType w:val="multilevel"/>
    <w:tmpl w:val="25195CAD"/>
    <w:lvl w:ilvl="0">
      <w:start w:val="1"/>
      <w:numFmt w:val="bullet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440031797">
    <w:abstractNumId w:val="2"/>
  </w:num>
  <w:num w:numId="2" w16cid:durableId="1890915228">
    <w:abstractNumId w:val="0"/>
  </w:num>
  <w:num w:numId="3" w16cid:durableId="15842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Moves/>
  <w:doNotTrackFormatting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FF"/>
    <w:rsid w:val="000027BD"/>
    <w:rsid w:val="0000484E"/>
    <w:rsid w:val="000150B7"/>
    <w:rsid w:val="00021AB2"/>
    <w:rsid w:val="00031015"/>
    <w:rsid w:val="000326C8"/>
    <w:rsid w:val="000350B3"/>
    <w:rsid w:val="00041C40"/>
    <w:rsid w:val="0004292A"/>
    <w:rsid w:val="000467AA"/>
    <w:rsid w:val="00052667"/>
    <w:rsid w:val="00061ACC"/>
    <w:rsid w:val="00062616"/>
    <w:rsid w:val="00073E6B"/>
    <w:rsid w:val="0007723F"/>
    <w:rsid w:val="00077D60"/>
    <w:rsid w:val="00083590"/>
    <w:rsid w:val="00092F4E"/>
    <w:rsid w:val="000B2EE2"/>
    <w:rsid w:val="000B58E5"/>
    <w:rsid w:val="000B5958"/>
    <w:rsid w:val="000B653C"/>
    <w:rsid w:val="000C12E5"/>
    <w:rsid w:val="000C6953"/>
    <w:rsid w:val="000D0853"/>
    <w:rsid w:val="000E29A9"/>
    <w:rsid w:val="000E3A81"/>
    <w:rsid w:val="000F43CC"/>
    <w:rsid w:val="00107E19"/>
    <w:rsid w:val="00115F62"/>
    <w:rsid w:val="00123E26"/>
    <w:rsid w:val="0013032F"/>
    <w:rsid w:val="001435C8"/>
    <w:rsid w:val="00144ED5"/>
    <w:rsid w:val="00145A04"/>
    <w:rsid w:val="00145B05"/>
    <w:rsid w:val="001639D8"/>
    <w:rsid w:val="00167474"/>
    <w:rsid w:val="00186A05"/>
    <w:rsid w:val="001965E2"/>
    <w:rsid w:val="00196887"/>
    <w:rsid w:val="0019714E"/>
    <w:rsid w:val="001B4C0C"/>
    <w:rsid w:val="001B4EA1"/>
    <w:rsid w:val="001C5840"/>
    <w:rsid w:val="001C611D"/>
    <w:rsid w:val="001C67E2"/>
    <w:rsid w:val="001D1555"/>
    <w:rsid w:val="001D6168"/>
    <w:rsid w:val="001E0F1F"/>
    <w:rsid w:val="001F1875"/>
    <w:rsid w:val="001F346E"/>
    <w:rsid w:val="001F35AA"/>
    <w:rsid w:val="001F367B"/>
    <w:rsid w:val="001F3D19"/>
    <w:rsid w:val="002003C5"/>
    <w:rsid w:val="00224A7C"/>
    <w:rsid w:val="00227605"/>
    <w:rsid w:val="002278D1"/>
    <w:rsid w:val="00231408"/>
    <w:rsid w:val="00231665"/>
    <w:rsid w:val="00233737"/>
    <w:rsid w:val="002403B5"/>
    <w:rsid w:val="00245281"/>
    <w:rsid w:val="00250E61"/>
    <w:rsid w:val="00261F94"/>
    <w:rsid w:val="002676B9"/>
    <w:rsid w:val="00267941"/>
    <w:rsid w:val="002703AE"/>
    <w:rsid w:val="00287E91"/>
    <w:rsid w:val="00291652"/>
    <w:rsid w:val="00295A9A"/>
    <w:rsid w:val="002964A1"/>
    <w:rsid w:val="002A25F2"/>
    <w:rsid w:val="002A2905"/>
    <w:rsid w:val="002A7C26"/>
    <w:rsid w:val="002D0419"/>
    <w:rsid w:val="002E147F"/>
    <w:rsid w:val="002E19BF"/>
    <w:rsid w:val="002F09A7"/>
    <w:rsid w:val="002F5271"/>
    <w:rsid w:val="00305950"/>
    <w:rsid w:val="00306B88"/>
    <w:rsid w:val="00310488"/>
    <w:rsid w:val="00311263"/>
    <w:rsid w:val="00330A30"/>
    <w:rsid w:val="0034107F"/>
    <w:rsid w:val="00344D27"/>
    <w:rsid w:val="0035604C"/>
    <w:rsid w:val="00356B76"/>
    <w:rsid w:val="00371332"/>
    <w:rsid w:val="0037525D"/>
    <w:rsid w:val="003850D4"/>
    <w:rsid w:val="00385F00"/>
    <w:rsid w:val="003866EF"/>
    <w:rsid w:val="003A4565"/>
    <w:rsid w:val="003B1EE4"/>
    <w:rsid w:val="003B27EC"/>
    <w:rsid w:val="003B2F86"/>
    <w:rsid w:val="003B4439"/>
    <w:rsid w:val="003B4C9E"/>
    <w:rsid w:val="003B7CBC"/>
    <w:rsid w:val="003C049F"/>
    <w:rsid w:val="003C3456"/>
    <w:rsid w:val="003D3FCB"/>
    <w:rsid w:val="003E3B57"/>
    <w:rsid w:val="003E4088"/>
    <w:rsid w:val="003E73DB"/>
    <w:rsid w:val="003F1EAC"/>
    <w:rsid w:val="00410914"/>
    <w:rsid w:val="004119F5"/>
    <w:rsid w:val="004166B2"/>
    <w:rsid w:val="004203EF"/>
    <w:rsid w:val="00427E52"/>
    <w:rsid w:val="00433C35"/>
    <w:rsid w:val="004371F0"/>
    <w:rsid w:val="00446353"/>
    <w:rsid w:val="0044739B"/>
    <w:rsid w:val="00447FA5"/>
    <w:rsid w:val="004523B7"/>
    <w:rsid w:val="00467A6B"/>
    <w:rsid w:val="00483A62"/>
    <w:rsid w:val="00486416"/>
    <w:rsid w:val="0049707A"/>
    <w:rsid w:val="004973DB"/>
    <w:rsid w:val="0049771A"/>
    <w:rsid w:val="004A4357"/>
    <w:rsid w:val="004A4BF1"/>
    <w:rsid w:val="004B3DFB"/>
    <w:rsid w:val="004C3420"/>
    <w:rsid w:val="004D018B"/>
    <w:rsid w:val="004D124C"/>
    <w:rsid w:val="004D4435"/>
    <w:rsid w:val="00504EF0"/>
    <w:rsid w:val="00512A53"/>
    <w:rsid w:val="00523905"/>
    <w:rsid w:val="005251B9"/>
    <w:rsid w:val="00530BB4"/>
    <w:rsid w:val="00545A47"/>
    <w:rsid w:val="005517F9"/>
    <w:rsid w:val="00557B7E"/>
    <w:rsid w:val="0057200D"/>
    <w:rsid w:val="0058258F"/>
    <w:rsid w:val="00584750"/>
    <w:rsid w:val="00591CEC"/>
    <w:rsid w:val="005A74EA"/>
    <w:rsid w:val="005B0CEB"/>
    <w:rsid w:val="005B18A3"/>
    <w:rsid w:val="005B1F5E"/>
    <w:rsid w:val="005D277C"/>
    <w:rsid w:val="005D6D17"/>
    <w:rsid w:val="005E4B84"/>
    <w:rsid w:val="005E7B2F"/>
    <w:rsid w:val="005F0C03"/>
    <w:rsid w:val="005F5280"/>
    <w:rsid w:val="005F7223"/>
    <w:rsid w:val="0060413B"/>
    <w:rsid w:val="00605EE6"/>
    <w:rsid w:val="0060669E"/>
    <w:rsid w:val="00614E94"/>
    <w:rsid w:val="00614EBB"/>
    <w:rsid w:val="0061583E"/>
    <w:rsid w:val="00617BCA"/>
    <w:rsid w:val="00624B11"/>
    <w:rsid w:val="00632159"/>
    <w:rsid w:val="00645B6A"/>
    <w:rsid w:val="00651ED7"/>
    <w:rsid w:val="00652D70"/>
    <w:rsid w:val="00655225"/>
    <w:rsid w:val="00664174"/>
    <w:rsid w:val="006643EA"/>
    <w:rsid w:val="0067348D"/>
    <w:rsid w:val="006745A9"/>
    <w:rsid w:val="00682729"/>
    <w:rsid w:val="0069572B"/>
    <w:rsid w:val="006A3F69"/>
    <w:rsid w:val="006A5B9F"/>
    <w:rsid w:val="006A6F18"/>
    <w:rsid w:val="006B4541"/>
    <w:rsid w:val="006B64D3"/>
    <w:rsid w:val="006D1E2B"/>
    <w:rsid w:val="006E0D98"/>
    <w:rsid w:val="006E3180"/>
    <w:rsid w:val="006E68C1"/>
    <w:rsid w:val="006E6E26"/>
    <w:rsid w:val="006E70AA"/>
    <w:rsid w:val="006F28E7"/>
    <w:rsid w:val="006F5B4E"/>
    <w:rsid w:val="006F7A98"/>
    <w:rsid w:val="007029CB"/>
    <w:rsid w:val="00705778"/>
    <w:rsid w:val="00710977"/>
    <w:rsid w:val="0071288A"/>
    <w:rsid w:val="0071373B"/>
    <w:rsid w:val="00720F7B"/>
    <w:rsid w:val="00724ACA"/>
    <w:rsid w:val="00726B19"/>
    <w:rsid w:val="00727BD0"/>
    <w:rsid w:val="007373F0"/>
    <w:rsid w:val="00742AFE"/>
    <w:rsid w:val="00742EDF"/>
    <w:rsid w:val="00751420"/>
    <w:rsid w:val="00755D03"/>
    <w:rsid w:val="007674D7"/>
    <w:rsid w:val="00772298"/>
    <w:rsid w:val="00787FCD"/>
    <w:rsid w:val="00794062"/>
    <w:rsid w:val="00797584"/>
    <w:rsid w:val="007A2D94"/>
    <w:rsid w:val="007B651A"/>
    <w:rsid w:val="007B6ED8"/>
    <w:rsid w:val="007B75E4"/>
    <w:rsid w:val="007E2608"/>
    <w:rsid w:val="007F1726"/>
    <w:rsid w:val="007F3617"/>
    <w:rsid w:val="007F3FF2"/>
    <w:rsid w:val="00800C76"/>
    <w:rsid w:val="0080200E"/>
    <w:rsid w:val="00803A33"/>
    <w:rsid w:val="008051ED"/>
    <w:rsid w:val="00806466"/>
    <w:rsid w:val="00811775"/>
    <w:rsid w:val="008248B2"/>
    <w:rsid w:val="00834D88"/>
    <w:rsid w:val="00864085"/>
    <w:rsid w:val="008707C2"/>
    <w:rsid w:val="00877BD1"/>
    <w:rsid w:val="008803D0"/>
    <w:rsid w:val="00880F24"/>
    <w:rsid w:val="008836AF"/>
    <w:rsid w:val="00885C9B"/>
    <w:rsid w:val="00893879"/>
    <w:rsid w:val="008B2172"/>
    <w:rsid w:val="008D4ED8"/>
    <w:rsid w:val="008D5501"/>
    <w:rsid w:val="008D644E"/>
    <w:rsid w:val="008E5BCA"/>
    <w:rsid w:val="008F26FA"/>
    <w:rsid w:val="009022B0"/>
    <w:rsid w:val="00902B5C"/>
    <w:rsid w:val="00905F4A"/>
    <w:rsid w:val="009145E4"/>
    <w:rsid w:val="009301D9"/>
    <w:rsid w:val="00943250"/>
    <w:rsid w:val="0094346F"/>
    <w:rsid w:val="00953187"/>
    <w:rsid w:val="009551E9"/>
    <w:rsid w:val="009609B3"/>
    <w:rsid w:val="0096333E"/>
    <w:rsid w:val="009668EC"/>
    <w:rsid w:val="00977C3B"/>
    <w:rsid w:val="00986A9A"/>
    <w:rsid w:val="009901B5"/>
    <w:rsid w:val="009A0BCC"/>
    <w:rsid w:val="009A2EFA"/>
    <w:rsid w:val="009A57C5"/>
    <w:rsid w:val="009A648C"/>
    <w:rsid w:val="009A6CD4"/>
    <w:rsid w:val="009A6E66"/>
    <w:rsid w:val="009B0211"/>
    <w:rsid w:val="009C16F8"/>
    <w:rsid w:val="009C1DE7"/>
    <w:rsid w:val="009C2C05"/>
    <w:rsid w:val="009C5625"/>
    <w:rsid w:val="009C5962"/>
    <w:rsid w:val="009D0999"/>
    <w:rsid w:val="009E2115"/>
    <w:rsid w:val="009E679E"/>
    <w:rsid w:val="009F0698"/>
    <w:rsid w:val="00A05705"/>
    <w:rsid w:val="00A136C7"/>
    <w:rsid w:val="00A14643"/>
    <w:rsid w:val="00A16F03"/>
    <w:rsid w:val="00A20754"/>
    <w:rsid w:val="00A21136"/>
    <w:rsid w:val="00A2266D"/>
    <w:rsid w:val="00A3323A"/>
    <w:rsid w:val="00A4032C"/>
    <w:rsid w:val="00A46C66"/>
    <w:rsid w:val="00A46FAF"/>
    <w:rsid w:val="00A55AA1"/>
    <w:rsid w:val="00A5674A"/>
    <w:rsid w:val="00A623EF"/>
    <w:rsid w:val="00A64F91"/>
    <w:rsid w:val="00A677F1"/>
    <w:rsid w:val="00A7438D"/>
    <w:rsid w:val="00A74797"/>
    <w:rsid w:val="00A7601D"/>
    <w:rsid w:val="00A81984"/>
    <w:rsid w:val="00A95E6B"/>
    <w:rsid w:val="00AA0F23"/>
    <w:rsid w:val="00AA3E2F"/>
    <w:rsid w:val="00AA46CA"/>
    <w:rsid w:val="00AA535B"/>
    <w:rsid w:val="00AB1591"/>
    <w:rsid w:val="00AB620A"/>
    <w:rsid w:val="00AC3273"/>
    <w:rsid w:val="00AC68C4"/>
    <w:rsid w:val="00AD310D"/>
    <w:rsid w:val="00AD3D4D"/>
    <w:rsid w:val="00AE4069"/>
    <w:rsid w:val="00AE7916"/>
    <w:rsid w:val="00AF09EA"/>
    <w:rsid w:val="00AF1D6D"/>
    <w:rsid w:val="00AF5632"/>
    <w:rsid w:val="00AF7089"/>
    <w:rsid w:val="00B04913"/>
    <w:rsid w:val="00B17E96"/>
    <w:rsid w:val="00B20B0B"/>
    <w:rsid w:val="00B2169A"/>
    <w:rsid w:val="00B219CD"/>
    <w:rsid w:val="00B31D4D"/>
    <w:rsid w:val="00B3616B"/>
    <w:rsid w:val="00B37633"/>
    <w:rsid w:val="00B518C9"/>
    <w:rsid w:val="00B52EAC"/>
    <w:rsid w:val="00B54969"/>
    <w:rsid w:val="00B75194"/>
    <w:rsid w:val="00B80B9E"/>
    <w:rsid w:val="00B838DA"/>
    <w:rsid w:val="00B853DE"/>
    <w:rsid w:val="00B86E3A"/>
    <w:rsid w:val="00BA017F"/>
    <w:rsid w:val="00BB0451"/>
    <w:rsid w:val="00BD535F"/>
    <w:rsid w:val="00BE6E64"/>
    <w:rsid w:val="00BF31B7"/>
    <w:rsid w:val="00BF4F99"/>
    <w:rsid w:val="00C04BD3"/>
    <w:rsid w:val="00C10048"/>
    <w:rsid w:val="00C25EA9"/>
    <w:rsid w:val="00C30E9B"/>
    <w:rsid w:val="00C424FC"/>
    <w:rsid w:val="00C51ECC"/>
    <w:rsid w:val="00C600D9"/>
    <w:rsid w:val="00C67ADA"/>
    <w:rsid w:val="00C67B95"/>
    <w:rsid w:val="00C810E8"/>
    <w:rsid w:val="00C847C2"/>
    <w:rsid w:val="00C90BF7"/>
    <w:rsid w:val="00CA6613"/>
    <w:rsid w:val="00CC25D0"/>
    <w:rsid w:val="00CC69AD"/>
    <w:rsid w:val="00CD4F63"/>
    <w:rsid w:val="00CF1664"/>
    <w:rsid w:val="00CF2B16"/>
    <w:rsid w:val="00CF5A8A"/>
    <w:rsid w:val="00D01278"/>
    <w:rsid w:val="00D04F62"/>
    <w:rsid w:val="00D12AB1"/>
    <w:rsid w:val="00D210DE"/>
    <w:rsid w:val="00D23B36"/>
    <w:rsid w:val="00D27AEB"/>
    <w:rsid w:val="00D323EA"/>
    <w:rsid w:val="00D53BAE"/>
    <w:rsid w:val="00D57DBA"/>
    <w:rsid w:val="00D57EBC"/>
    <w:rsid w:val="00D64977"/>
    <w:rsid w:val="00D66472"/>
    <w:rsid w:val="00D71F76"/>
    <w:rsid w:val="00D77095"/>
    <w:rsid w:val="00D80573"/>
    <w:rsid w:val="00D94BB1"/>
    <w:rsid w:val="00D961C9"/>
    <w:rsid w:val="00D97B80"/>
    <w:rsid w:val="00DA1D73"/>
    <w:rsid w:val="00DA73BF"/>
    <w:rsid w:val="00DB2761"/>
    <w:rsid w:val="00DB2FF6"/>
    <w:rsid w:val="00DC4ADA"/>
    <w:rsid w:val="00DD0E0C"/>
    <w:rsid w:val="00DD7765"/>
    <w:rsid w:val="00DE522D"/>
    <w:rsid w:val="00DF73CF"/>
    <w:rsid w:val="00E0369A"/>
    <w:rsid w:val="00E06974"/>
    <w:rsid w:val="00E179AD"/>
    <w:rsid w:val="00E23955"/>
    <w:rsid w:val="00E340CC"/>
    <w:rsid w:val="00E417DF"/>
    <w:rsid w:val="00E47327"/>
    <w:rsid w:val="00E66815"/>
    <w:rsid w:val="00E721B8"/>
    <w:rsid w:val="00E7385D"/>
    <w:rsid w:val="00E86579"/>
    <w:rsid w:val="00E90A19"/>
    <w:rsid w:val="00E974F8"/>
    <w:rsid w:val="00EA2758"/>
    <w:rsid w:val="00EA38E5"/>
    <w:rsid w:val="00EA79DA"/>
    <w:rsid w:val="00EC1274"/>
    <w:rsid w:val="00EC3217"/>
    <w:rsid w:val="00EC636E"/>
    <w:rsid w:val="00EC7E55"/>
    <w:rsid w:val="00ED6F93"/>
    <w:rsid w:val="00EE6A94"/>
    <w:rsid w:val="00EE7984"/>
    <w:rsid w:val="00EE7CB8"/>
    <w:rsid w:val="00EF16FB"/>
    <w:rsid w:val="00F02216"/>
    <w:rsid w:val="00F0291C"/>
    <w:rsid w:val="00F06E8A"/>
    <w:rsid w:val="00F101DD"/>
    <w:rsid w:val="00F14193"/>
    <w:rsid w:val="00F14D59"/>
    <w:rsid w:val="00F1733A"/>
    <w:rsid w:val="00F20CCE"/>
    <w:rsid w:val="00F3614E"/>
    <w:rsid w:val="00F372D2"/>
    <w:rsid w:val="00F56870"/>
    <w:rsid w:val="00F576E0"/>
    <w:rsid w:val="00F6440C"/>
    <w:rsid w:val="00F87813"/>
    <w:rsid w:val="00F901CF"/>
    <w:rsid w:val="00F90205"/>
    <w:rsid w:val="00F906EF"/>
    <w:rsid w:val="00FB1FA1"/>
    <w:rsid w:val="00FB33FD"/>
    <w:rsid w:val="00FB645E"/>
    <w:rsid w:val="00FC35ED"/>
    <w:rsid w:val="00FD6CD9"/>
    <w:rsid w:val="00FE20D9"/>
    <w:rsid w:val="00FF6C73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D3D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591"/>
    <w:pPr>
      <w:spacing w:after="240"/>
      <w:jc w:val="both"/>
    </w:pPr>
    <w:rPr>
      <w:sz w:val="24"/>
      <w:szCs w:val="24"/>
      <w:lang w:val="en-GB" w:bidi="ar-AE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rFonts w:cs="Simplified Arabic"/>
    </w:rPr>
  </w:style>
  <w:style w:type="paragraph" w:styleId="Heading2">
    <w:name w:val="heading 2"/>
    <w:basedOn w:val="Normal"/>
    <w:next w:val="BodyText"/>
    <w:link w:val="Heading2Char"/>
    <w:qFormat/>
    <w:pPr>
      <w:outlineLvl w:val="1"/>
    </w:pPr>
    <w:rPr>
      <w:rFonts w:cs="Simplified Arabic"/>
    </w:rPr>
  </w:style>
  <w:style w:type="paragraph" w:styleId="Heading3">
    <w:name w:val="heading 3"/>
    <w:basedOn w:val="Heading2"/>
    <w:next w:val="BodyText"/>
    <w:link w:val="Heading3Char"/>
    <w:qFormat/>
    <w:pPr>
      <w:outlineLvl w:val="2"/>
    </w:pPr>
  </w:style>
  <w:style w:type="paragraph" w:styleId="Heading4">
    <w:name w:val="heading 4"/>
    <w:basedOn w:val="Normal"/>
    <w:next w:val="BodyText"/>
    <w:link w:val="Heading4Char"/>
    <w:qFormat/>
    <w:pPr>
      <w:outlineLvl w:val="3"/>
    </w:pPr>
    <w:rPr>
      <w:rFonts w:cs="Simplified Arabic"/>
    </w:rPr>
  </w:style>
  <w:style w:type="paragraph" w:styleId="Heading5">
    <w:name w:val="heading 5"/>
    <w:basedOn w:val="Normal"/>
    <w:next w:val="BodyText"/>
    <w:link w:val="Heading5Char"/>
    <w:qFormat/>
    <w:pPr>
      <w:outlineLvl w:val="4"/>
    </w:pPr>
    <w:rPr>
      <w:rFonts w:cs="Simplified Arabic"/>
    </w:rPr>
  </w:style>
  <w:style w:type="paragraph" w:styleId="Heading6">
    <w:name w:val="heading 6"/>
    <w:basedOn w:val="Normal"/>
    <w:next w:val="BodyText"/>
    <w:link w:val="Heading6Char"/>
    <w:qFormat/>
    <w:pPr>
      <w:outlineLvl w:val="5"/>
    </w:pPr>
    <w:rPr>
      <w:rFonts w:cs="Simplified Arabic"/>
    </w:rPr>
  </w:style>
  <w:style w:type="paragraph" w:styleId="Heading7">
    <w:name w:val="heading 7"/>
    <w:basedOn w:val="Normal"/>
    <w:next w:val="BodyText"/>
    <w:link w:val="Heading7Char"/>
    <w:qFormat/>
    <w:pPr>
      <w:outlineLvl w:val="6"/>
    </w:pPr>
    <w:rPr>
      <w:rFonts w:cs="Simplified Arabic"/>
    </w:rPr>
  </w:style>
  <w:style w:type="paragraph" w:styleId="Heading8">
    <w:name w:val="heading 8"/>
    <w:basedOn w:val="Normal"/>
    <w:next w:val="BodyText"/>
    <w:link w:val="Heading8Char"/>
    <w:qFormat/>
    <w:pPr>
      <w:outlineLvl w:val="7"/>
    </w:pPr>
    <w:rPr>
      <w:rFonts w:cs="Simplified Arabic"/>
    </w:rPr>
  </w:style>
  <w:style w:type="paragraph" w:styleId="Heading9">
    <w:name w:val="heading 9"/>
    <w:basedOn w:val="Normal"/>
    <w:next w:val="BodyText"/>
    <w:link w:val="Heading9Char"/>
    <w:qFormat/>
    <w:pPr>
      <w:outlineLvl w:val="8"/>
    </w:pPr>
    <w:rPr>
      <w:rFonts w:cs="Simplified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val="en-GB" w:eastAsia="zh-CN" w:bidi="ar-AE"/>
    </w:rPr>
  </w:style>
  <w:style w:type="character" w:customStyle="1" w:styleId="Heading1Char">
    <w:name w:val="Heading 1 Char"/>
    <w:link w:val="Heading1"/>
    <w:rPr>
      <w:sz w:val="24"/>
      <w:szCs w:val="24"/>
      <w:lang w:bidi="ar-AE"/>
    </w:rPr>
  </w:style>
  <w:style w:type="character" w:customStyle="1" w:styleId="Heading2Char">
    <w:name w:val="Heading 2 Char"/>
    <w:link w:val="Heading2"/>
    <w:rPr>
      <w:sz w:val="24"/>
      <w:szCs w:val="24"/>
      <w:lang w:bidi="ar-AE"/>
    </w:rPr>
  </w:style>
  <w:style w:type="paragraph" w:styleId="BodyText">
    <w:name w:val="Body Text"/>
    <w:basedOn w:val="Normal"/>
    <w:link w:val="BodyTextChar"/>
    <w:rPr>
      <w:rFonts w:cs="Simplified Arabic"/>
      <w:lang w:eastAsia="en-GB"/>
    </w:rPr>
  </w:style>
  <w:style w:type="character" w:customStyle="1" w:styleId="BodyTextChar">
    <w:name w:val="Body Text Char"/>
    <w:link w:val="BodyText"/>
    <w:rPr>
      <w:sz w:val="24"/>
      <w:szCs w:val="24"/>
      <w:lang w:eastAsia="en-GB" w:bidi="ar-AE"/>
    </w:rPr>
  </w:style>
  <w:style w:type="character" w:customStyle="1" w:styleId="Heading3Char">
    <w:name w:val="Heading 3 Char"/>
    <w:link w:val="Heading3"/>
    <w:rPr>
      <w:sz w:val="24"/>
      <w:szCs w:val="24"/>
      <w:lang w:bidi="ar-AE"/>
    </w:rPr>
  </w:style>
  <w:style w:type="character" w:customStyle="1" w:styleId="Heading4Char">
    <w:name w:val="Heading 4 Char"/>
    <w:link w:val="Heading4"/>
    <w:rPr>
      <w:sz w:val="24"/>
      <w:szCs w:val="24"/>
      <w:lang w:bidi="ar-AE"/>
    </w:rPr>
  </w:style>
  <w:style w:type="character" w:customStyle="1" w:styleId="Heading5Char">
    <w:name w:val="Heading 5 Char"/>
    <w:link w:val="Heading5"/>
    <w:rPr>
      <w:sz w:val="24"/>
      <w:szCs w:val="24"/>
      <w:lang w:bidi="ar-AE"/>
    </w:rPr>
  </w:style>
  <w:style w:type="character" w:customStyle="1" w:styleId="Heading6Char">
    <w:name w:val="Heading 6 Char"/>
    <w:link w:val="Heading6"/>
    <w:rPr>
      <w:sz w:val="24"/>
      <w:szCs w:val="24"/>
      <w:lang w:bidi="ar-AE"/>
    </w:rPr>
  </w:style>
  <w:style w:type="character" w:customStyle="1" w:styleId="Heading7Char">
    <w:name w:val="Heading 7 Char"/>
    <w:link w:val="Heading7"/>
    <w:rPr>
      <w:sz w:val="24"/>
      <w:szCs w:val="24"/>
      <w:lang w:bidi="ar-AE"/>
    </w:rPr>
  </w:style>
  <w:style w:type="character" w:customStyle="1" w:styleId="Heading8Char">
    <w:name w:val="Heading 8 Char"/>
    <w:link w:val="Heading8"/>
    <w:rPr>
      <w:sz w:val="24"/>
      <w:szCs w:val="24"/>
      <w:lang w:bidi="ar-AE"/>
    </w:rPr>
  </w:style>
  <w:style w:type="character" w:customStyle="1" w:styleId="Heading9Char">
    <w:name w:val="Heading 9 Char"/>
    <w:link w:val="Heading9"/>
    <w:rPr>
      <w:sz w:val="24"/>
      <w:szCs w:val="24"/>
      <w:lang w:bidi="ar-AE"/>
    </w:rPr>
  </w:style>
  <w:style w:type="paragraph" w:styleId="List3">
    <w:name w:val="List 3"/>
    <w:basedOn w:val="Normal"/>
    <w:pPr>
      <w:ind w:left="1080" w:hanging="360"/>
      <w:contextualSpacing/>
    </w:pPr>
  </w:style>
  <w:style w:type="paragraph" w:styleId="TOC7">
    <w:name w:val="toc 7"/>
    <w:basedOn w:val="Normal"/>
    <w:next w:val="Normal"/>
    <w:pPr>
      <w:ind w:left="1440"/>
    </w:p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rPr>
      <w:rFonts w:cs="Simplified Arabic"/>
    </w:rPr>
  </w:style>
  <w:style w:type="character" w:customStyle="1" w:styleId="NoteHeadingChar">
    <w:name w:val="Note Heading Char"/>
    <w:link w:val="NoteHeading"/>
    <w:rPr>
      <w:sz w:val="24"/>
      <w:szCs w:val="24"/>
      <w:lang w:bidi="ar-AE"/>
    </w:r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E-mailSignature">
    <w:name w:val="E-mail Signature"/>
    <w:basedOn w:val="Normal"/>
    <w:link w:val="E-mailSignatureChar"/>
    <w:rPr>
      <w:rFonts w:cs="Simplified Arabic"/>
    </w:rPr>
  </w:style>
  <w:style w:type="character" w:customStyle="1" w:styleId="E-mailSignatureChar">
    <w:name w:val="E-mail Signature Char"/>
    <w:link w:val="E-mailSignature"/>
    <w:rPr>
      <w:sz w:val="24"/>
      <w:szCs w:val="24"/>
      <w:lang w:bidi="ar-AE"/>
    </w:rPr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bidi="ar-AE"/>
    </w:rPr>
  </w:style>
  <w:style w:type="paragraph" w:styleId="TOAHeading">
    <w:name w:val="toa heading"/>
    <w:basedOn w:val="Normal"/>
    <w:next w:val="Normal"/>
    <w:pPr>
      <w:spacing w:before="120"/>
    </w:pPr>
    <w:rPr>
      <w:rFonts w:cs="Simplified Arabic"/>
      <w:b/>
      <w:bCs/>
    </w:rPr>
  </w:style>
  <w:style w:type="paragraph" w:styleId="CommentText">
    <w:name w:val="annotation text"/>
    <w:basedOn w:val="Normal"/>
    <w:link w:val="CommentTextChar"/>
    <w:pPr>
      <w:spacing w:after="120"/>
    </w:pPr>
    <w:rPr>
      <w:rFonts w:cs="Simplified Arabic"/>
      <w:sz w:val="20"/>
      <w:szCs w:val="20"/>
    </w:rPr>
  </w:style>
  <w:style w:type="character" w:customStyle="1" w:styleId="CommentTextChar">
    <w:name w:val="Comment Text Char"/>
    <w:link w:val="CommentText"/>
    <w:rPr>
      <w:lang w:bidi="ar-AE"/>
    </w:r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Salutation">
    <w:name w:val="Salutation"/>
    <w:basedOn w:val="Normal"/>
    <w:next w:val="Normal"/>
    <w:link w:val="SalutationChar"/>
    <w:rPr>
      <w:rFonts w:cs="Simplified Arabic"/>
    </w:rPr>
  </w:style>
  <w:style w:type="character" w:customStyle="1" w:styleId="SalutationChar">
    <w:name w:val="Salutation Char"/>
    <w:link w:val="Salutation"/>
    <w:rPr>
      <w:sz w:val="24"/>
      <w:szCs w:val="24"/>
      <w:lang w:bidi="ar-AE"/>
    </w:rPr>
  </w:style>
  <w:style w:type="paragraph" w:styleId="BodyText3">
    <w:name w:val="Body Text 3"/>
    <w:basedOn w:val="Normal"/>
    <w:link w:val="BodyText3Char"/>
    <w:pPr>
      <w:ind w:left="2160"/>
    </w:pPr>
    <w:rPr>
      <w:rFonts w:cs="Simplified Arabic"/>
      <w:lang w:eastAsia="en-GB"/>
    </w:rPr>
  </w:style>
  <w:style w:type="character" w:customStyle="1" w:styleId="BodyText3Char">
    <w:name w:val="Body Text 3 Char"/>
    <w:link w:val="BodyText3"/>
    <w:rPr>
      <w:sz w:val="24"/>
      <w:szCs w:val="24"/>
      <w:lang w:eastAsia="en-GB" w:bidi="ar-AE"/>
    </w:rPr>
  </w:style>
  <w:style w:type="paragraph" w:styleId="Closing">
    <w:name w:val="Closing"/>
    <w:basedOn w:val="Normal"/>
    <w:link w:val="ClosingChar"/>
    <w:pPr>
      <w:ind w:left="4320"/>
    </w:pPr>
    <w:rPr>
      <w:rFonts w:cs="Simplified Arabic"/>
    </w:rPr>
  </w:style>
  <w:style w:type="character" w:customStyle="1" w:styleId="ClosingChar">
    <w:name w:val="Closing Char"/>
    <w:link w:val="Closing"/>
    <w:rPr>
      <w:sz w:val="24"/>
      <w:szCs w:val="24"/>
      <w:lang w:bidi="ar-AE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cs="Simplified Arabic"/>
    </w:rPr>
  </w:style>
  <w:style w:type="character" w:customStyle="1" w:styleId="BodyTextIndentChar">
    <w:name w:val="Body Text Indent Char"/>
    <w:link w:val="BodyTextIndent"/>
    <w:rPr>
      <w:sz w:val="24"/>
      <w:szCs w:val="24"/>
      <w:lang w:bidi="ar-AE"/>
    </w:rPr>
  </w:style>
  <w:style w:type="paragraph" w:styleId="List2">
    <w:name w:val="List 2"/>
    <w:basedOn w:val="Normal"/>
    <w:pPr>
      <w:ind w:left="720" w:hanging="360"/>
      <w:contextualSpacing/>
    </w:pPr>
  </w:style>
  <w:style w:type="paragraph" w:styleId="ListContinue">
    <w:name w:val="List Continue"/>
    <w:basedOn w:val="Normal"/>
    <w:pPr>
      <w:spacing w:after="120"/>
      <w:ind w:left="360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rFonts w:cs="Simplified Arabic"/>
      <w:i/>
      <w:iCs/>
    </w:rPr>
  </w:style>
  <w:style w:type="character" w:customStyle="1" w:styleId="HTMLAddressChar">
    <w:name w:val="HTML Address Char"/>
    <w:link w:val="HTMLAddress"/>
    <w:rPr>
      <w:i/>
      <w:iCs/>
      <w:sz w:val="24"/>
      <w:szCs w:val="24"/>
      <w:lang w:bidi="ar-AE"/>
    </w:r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TOC5">
    <w:name w:val="toc 5"/>
    <w:basedOn w:val="Normal"/>
    <w:next w:val="Normal"/>
    <w:pPr>
      <w:ind w:left="960"/>
    </w:pPr>
  </w:style>
  <w:style w:type="paragraph" w:styleId="TOC3">
    <w:name w:val="toc 3"/>
    <w:basedOn w:val="Normal"/>
    <w:next w:val="Normal"/>
    <w:pPr>
      <w:ind w:left="48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bidi="ar-AE"/>
    </w:rPr>
  </w:style>
  <w:style w:type="paragraph" w:styleId="TOC8">
    <w:name w:val="toc 8"/>
    <w:basedOn w:val="Normal"/>
    <w:next w:val="Normal"/>
    <w:pPr>
      <w:ind w:left="168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Date">
    <w:name w:val="Date"/>
    <w:basedOn w:val="Normal"/>
    <w:next w:val="Normal"/>
    <w:link w:val="DateChar"/>
    <w:rPr>
      <w:rFonts w:cs="Simplified Arabic"/>
    </w:rPr>
  </w:style>
  <w:style w:type="character" w:customStyle="1" w:styleId="DateChar">
    <w:name w:val="Date Char"/>
    <w:link w:val="Date"/>
    <w:rPr>
      <w:sz w:val="24"/>
      <w:szCs w:val="24"/>
      <w:lang w:bidi="ar-AE"/>
    </w:rPr>
  </w:style>
  <w:style w:type="paragraph" w:styleId="BodyTextIndent2">
    <w:name w:val="Body Text Indent 2"/>
    <w:basedOn w:val="Normal"/>
    <w:link w:val="BodyTextIndent2Char"/>
    <w:pPr>
      <w:spacing w:after="120"/>
      <w:ind w:left="360"/>
    </w:pPr>
    <w:rPr>
      <w:rFonts w:cs="Simplified Arabic"/>
    </w:rPr>
  </w:style>
  <w:style w:type="character" w:customStyle="1" w:styleId="BodyTextIndent2Char">
    <w:name w:val="Body Text Indent 2 Char"/>
    <w:link w:val="BodyTextIndent2"/>
    <w:rPr>
      <w:sz w:val="24"/>
      <w:szCs w:val="24"/>
      <w:lang w:bidi="ar-AE"/>
    </w:rPr>
  </w:style>
  <w:style w:type="paragraph" w:styleId="EndnoteText">
    <w:name w:val="endnote text"/>
    <w:basedOn w:val="Normal"/>
    <w:next w:val="Normal"/>
    <w:link w:val="End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EndnoteTextChar">
    <w:name w:val="Endnote Text Char"/>
    <w:link w:val="EndnoteText"/>
    <w:rPr>
      <w:lang w:bidi="ar-AE"/>
    </w:rPr>
  </w:style>
  <w:style w:type="paragraph" w:styleId="ListContinue5">
    <w:name w:val="List Continue 5"/>
    <w:basedOn w:val="Normal"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bidi="ar-AE"/>
    </w:rPr>
  </w:style>
  <w:style w:type="paragraph" w:styleId="Footer">
    <w:name w:val="footer"/>
    <w:link w:val="FooterChar"/>
    <w:rPr>
      <w:sz w:val="16"/>
      <w:szCs w:val="16"/>
      <w:lang w:val="en-GB" w:bidi="he-IL"/>
    </w:rPr>
  </w:style>
  <w:style w:type="character" w:customStyle="1" w:styleId="FooterChar">
    <w:name w:val="Footer Char"/>
    <w:link w:val="Footer"/>
    <w:rPr>
      <w:sz w:val="16"/>
      <w:szCs w:val="16"/>
      <w:lang w:val="en-GB" w:eastAsia="zh-CN" w:bidi="he-IL"/>
    </w:rPr>
  </w:style>
  <w:style w:type="paragraph" w:styleId="EnvelopeReturn">
    <w:name w:val="envelope return"/>
    <w:basedOn w:val="Normal"/>
    <w:rPr>
      <w:rFonts w:cs="Simplified Arabic"/>
      <w:sz w:val="20"/>
      <w:szCs w:val="20"/>
    </w:rPr>
  </w:style>
  <w:style w:type="paragraph" w:styleId="Header">
    <w:name w:val="header"/>
    <w:link w:val="HeaderChar"/>
    <w:uiPriority w:val="99"/>
    <w:pPr>
      <w:jc w:val="both"/>
    </w:pPr>
    <w:rPr>
      <w:sz w:val="24"/>
      <w:szCs w:val="24"/>
      <w:lang w:val="en-GB" w:bidi="he-IL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GB" w:eastAsia="zh-CN" w:bidi="he-IL"/>
    </w:rPr>
  </w:style>
  <w:style w:type="paragraph" w:styleId="Signature">
    <w:name w:val="Signature"/>
    <w:basedOn w:val="Normal"/>
    <w:link w:val="SignatureChar"/>
    <w:pPr>
      <w:ind w:left="4320"/>
    </w:pPr>
    <w:rPr>
      <w:rFonts w:cs="Simplified Arabic"/>
    </w:rPr>
  </w:style>
  <w:style w:type="character" w:customStyle="1" w:styleId="SignatureChar">
    <w:name w:val="Signature Char"/>
    <w:link w:val="Signature"/>
    <w:rPr>
      <w:sz w:val="24"/>
      <w:szCs w:val="24"/>
      <w:lang w:bidi="ar-AE"/>
    </w:rPr>
  </w:style>
  <w:style w:type="paragraph" w:styleId="TOC1">
    <w:name w:val="toc 1"/>
    <w:basedOn w:val="Normal"/>
    <w:next w:val="BodyText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ListContinue4">
    <w:name w:val="List Continue 4"/>
    <w:basedOn w:val="Normal"/>
    <w:pPr>
      <w:spacing w:after="120"/>
      <w:ind w:left="1440"/>
      <w:contextualSpacing/>
    </w:pPr>
  </w:style>
  <w:style w:type="paragraph" w:styleId="TOC4">
    <w:name w:val="toc 4"/>
    <w:basedOn w:val="Normal"/>
    <w:next w:val="Normal"/>
    <w:pPr>
      <w:ind w:left="720"/>
    </w:pPr>
  </w:style>
  <w:style w:type="paragraph" w:styleId="IndexHeading">
    <w:name w:val="index heading"/>
    <w:basedOn w:val="Normal"/>
    <w:next w:val="Normal"/>
    <w:rPr>
      <w:b/>
      <w:bCs/>
    </w:rPr>
  </w:style>
  <w:style w:type="paragraph" w:styleId="Subtitle">
    <w:name w:val="Subtitle"/>
    <w:basedOn w:val="Normal"/>
    <w:next w:val="BodyText"/>
    <w:link w:val="SubtitleChar"/>
    <w:qFormat/>
    <w:pPr>
      <w:jc w:val="center"/>
    </w:pPr>
    <w:rPr>
      <w:rFonts w:cs="Simplified Arabic"/>
    </w:rPr>
  </w:style>
  <w:style w:type="character" w:customStyle="1" w:styleId="SubtitleChar">
    <w:name w:val="Subtitle Char"/>
    <w:link w:val="Subtitle"/>
    <w:rPr>
      <w:sz w:val="24"/>
      <w:szCs w:val="24"/>
      <w:lang w:bidi="ar-AE"/>
    </w:rPr>
  </w:style>
  <w:style w:type="paragraph" w:styleId="List">
    <w:name w:val="List"/>
    <w:basedOn w:val="Normal"/>
    <w:pPr>
      <w:ind w:left="360" w:hanging="360"/>
      <w:contextualSpacing/>
    </w:pPr>
  </w:style>
  <w:style w:type="paragraph" w:styleId="FootnoteText">
    <w:name w:val="footnote text"/>
    <w:basedOn w:val="Normal"/>
    <w:next w:val="Normal"/>
    <w:link w:val="Foot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FootnoteTextChar">
    <w:name w:val="Footnote Text Char"/>
    <w:link w:val="FootnoteText"/>
    <w:rPr>
      <w:lang w:bidi="ar-AE"/>
    </w:rPr>
  </w:style>
  <w:style w:type="paragraph" w:styleId="TOC6">
    <w:name w:val="toc 6"/>
    <w:basedOn w:val="Normal"/>
    <w:next w:val="Normal"/>
    <w:pPr>
      <w:ind w:left="1200"/>
    </w:pPr>
  </w:style>
  <w:style w:type="paragraph" w:styleId="List5">
    <w:name w:val="List 5"/>
    <w:basedOn w:val="Normal"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BodyTextIndent3Char">
    <w:name w:val="Body Text Indent 3 Char"/>
    <w:link w:val="BodyTextIndent3"/>
    <w:rPr>
      <w:sz w:val="16"/>
      <w:szCs w:val="16"/>
      <w:lang w:bidi="ar-AE"/>
    </w:r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TableofFigures">
    <w:name w:val="table of figures"/>
    <w:basedOn w:val="Normal"/>
    <w:next w:val="Normal"/>
  </w:style>
  <w:style w:type="paragraph" w:styleId="TOC2">
    <w:name w:val="toc 2"/>
    <w:basedOn w:val="Normal"/>
    <w:next w:val="BodyText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Normal"/>
    <w:next w:val="Normal"/>
    <w:pPr>
      <w:ind w:left="1920"/>
    </w:pPr>
  </w:style>
  <w:style w:type="paragraph" w:styleId="BodyText2">
    <w:name w:val="Body Text 2"/>
    <w:basedOn w:val="Normal"/>
    <w:link w:val="BodyText2Char"/>
    <w:pPr>
      <w:ind w:left="1440"/>
    </w:pPr>
    <w:rPr>
      <w:rFonts w:cs="Simplified Arabic"/>
      <w:lang w:eastAsia="en-GB"/>
    </w:rPr>
  </w:style>
  <w:style w:type="character" w:customStyle="1" w:styleId="BodyText2Char">
    <w:name w:val="Body Text 2 Char"/>
    <w:link w:val="BodyText2"/>
    <w:rPr>
      <w:sz w:val="24"/>
      <w:szCs w:val="24"/>
      <w:lang w:eastAsia="en-GB" w:bidi="ar-AE"/>
    </w:rPr>
  </w:style>
  <w:style w:type="paragraph" w:styleId="List4">
    <w:name w:val="List 4"/>
    <w:basedOn w:val="Normal"/>
    <w:pPr>
      <w:ind w:left="1440" w:hanging="360"/>
      <w:contextualSpacing/>
    </w:pPr>
  </w:style>
  <w:style w:type="paragraph" w:styleId="ListContinue2">
    <w:name w:val="List Continue 2"/>
    <w:basedOn w:val="Normal"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link w:val="MessageHeader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bidi="ar-AE"/>
    </w:rPr>
  </w:style>
  <w:style w:type="paragraph" w:styleId="NormalWeb">
    <w:name w:val="Normal (Web)"/>
    <w:basedOn w:val="Normal"/>
  </w:style>
  <w:style w:type="paragraph" w:styleId="ListContinue3">
    <w:name w:val="List Continue 3"/>
    <w:basedOn w:val="Normal"/>
    <w:pPr>
      <w:spacing w:after="120"/>
      <w:ind w:left="1080"/>
      <w:contextualSpacing/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Title">
    <w:name w:val="Title"/>
    <w:basedOn w:val="Normal"/>
    <w:next w:val="BodyText"/>
    <w:link w:val="TitleChar"/>
    <w:qFormat/>
    <w:pPr>
      <w:jc w:val="center"/>
    </w:pPr>
    <w:rPr>
      <w:rFonts w:cs="Simplified Arabic"/>
      <w:b/>
      <w:bCs/>
    </w:rPr>
  </w:style>
  <w:style w:type="character" w:customStyle="1" w:styleId="TitleChar">
    <w:name w:val="Title Char"/>
    <w:link w:val="Title"/>
    <w:rPr>
      <w:b/>
      <w:bCs/>
      <w:sz w:val="24"/>
      <w:szCs w:val="24"/>
      <w:lang w:bidi="ar-AE"/>
    </w:rPr>
  </w:style>
  <w:style w:type="paragraph" w:styleId="CommentSubject">
    <w:name w:val="annotation subject"/>
    <w:basedOn w:val="CommentText"/>
    <w:next w:val="CommentText"/>
    <w:link w:val="CommentSubjectChar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bidi="ar-AE"/>
    </w:rPr>
  </w:style>
  <w:style w:type="paragraph" w:styleId="BodyTextFirstIndent">
    <w:name w:val="Body Text First Indent"/>
    <w:basedOn w:val="BodyText"/>
    <w:link w:val="BodyTextFirstIndentChar"/>
    <w:pPr>
      <w:ind w:firstLine="720"/>
    </w:pPr>
  </w:style>
  <w:style w:type="character" w:customStyle="1" w:styleId="BodyTextFirstIndentChar">
    <w:name w:val="Body Text First Indent Char"/>
    <w:link w:val="BodyTextFirstIndent"/>
    <w:rPr>
      <w:sz w:val="24"/>
      <w:szCs w:val="24"/>
      <w:lang w:eastAsia="en-GB" w:bidi="ar-AE"/>
    </w:rPr>
  </w:style>
  <w:style w:type="paragraph" w:styleId="BodyTextFirstIndent2">
    <w:name w:val="Body Text First Indent 2"/>
    <w:basedOn w:val="BodyTextFirstIndent"/>
    <w:link w:val="BodyTextFirstIndent2Char"/>
    <w:pPr>
      <w:ind w:firstLine="1440"/>
    </w:pPr>
  </w:style>
  <w:style w:type="character" w:customStyle="1" w:styleId="BodyTextFirstIndent2Char">
    <w:name w:val="Body Text First Indent 2 Char"/>
    <w:link w:val="BodyTextFirstIndent2"/>
    <w:rPr>
      <w:sz w:val="24"/>
      <w:szCs w:val="24"/>
      <w:lang w:eastAsia="en-GB" w:bidi="ar-AE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Theme">
    <w:name w:val="Table Theme"/>
    <w:basedOn w:val="TableNormal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1">
    <w:name w:val="Table Web 1"/>
    <w:basedOn w:val="TableNormal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LightShading-Accent2">
    <w:name w:val="Light Shading Accent 2"/>
    <w:basedOn w:val="TableNormal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3">
    <w:name w:val="Light Shading Accent 3"/>
    <w:basedOn w:val="TableNormal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4">
    <w:name w:val="Light Shading Accent 4"/>
    <w:basedOn w:val="TableNormal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5">
    <w:name w:val="Light Shading Accent 5"/>
    <w:basedOn w:val="TableNormal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Shading-Accent6">
    <w:name w:val="Light Shading Accent 6"/>
    <w:basedOn w:val="TableNormal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2">
    <w:name w:val="Light List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LightList-Accent4">
    <w:name w:val="Light List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LightList-Accent5">
    <w:name w:val="Light List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LightList-Accent6">
    <w:name w:val="Light List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LightGrid-Accent2">
    <w:name w:val="Light Grid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LightGrid-Accent3">
    <w:name w:val="Light Grid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LightGrid-Accent4">
    <w:name w:val="Light Grid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LightGrid-Accent5">
    <w:name w:val="Light Grid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LightGrid-Accent6">
    <w:name w:val="Light Grid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MediumShading1-Accent2">
    <w:name w:val="Medium Shading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Shading1-Accent3">
    <w:name w:val="Medium Shading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1-Accent4">
    <w:name w:val="Medium Shading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Shading1-Accent5">
    <w:name w:val="Medium Shading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Shading1-Accent6">
    <w:name w:val="Medium Shading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Shading2-Accent2">
    <w:name w:val="Medium Shading 2 Accent 2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3">
    <w:name w:val="Medium Shading 2 Accent 3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4">
    <w:name w:val="Medium Shading 2 Accent 4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5">
    <w:name w:val="Medium Shading 2 Accent 5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6">
    <w:name w:val="Medium Shading 2 Accent 6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List1-Accent2">
    <w:name w:val="Medium List 1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1">
    <w:name w:val="Medium List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MediumList2-Accent2">
    <w:name w:val="Medium List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MediumList2-Accent3">
    <w:name w:val="Medium List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MediumList2-Accent4">
    <w:name w:val="Medium List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MediumList2-Accent5">
    <w:name w:val="Medium List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MediumList2-Accent6">
    <w:name w:val="Medium List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MediumGrid1-Accent1">
    <w:name w:val="Medium Grid 1 Accent 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-Accent1">
    <w:name w:val="Medium Grid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DarkList-Accent1">
    <w:name w:val="Dark List Accent 1"/>
    <w:basedOn w:val="TableNormal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DarkList-Accent2">
    <w:name w:val="Dark List Accent 2"/>
    <w:basedOn w:val="TableNormal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DarkList-Accent3">
    <w:name w:val="Dark List Accent 3"/>
    <w:basedOn w:val="TableNormal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DarkList-Accent4">
    <w:name w:val="Dark List Accent 4"/>
    <w:basedOn w:val="TableNormal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DarkList-Accent5">
    <w:name w:val="Dark List Accent 5"/>
    <w:basedOn w:val="TableNormal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DarkList-Accent6">
    <w:name w:val="Dark List Accent 6"/>
    <w:basedOn w:val="TableNormal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ColorfulShading-Accent1">
    <w:name w:val="Colorful Shading Accent 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1">
    <w:name w:val="Colorful List Accent 1"/>
    <w:basedOn w:val="TableNormal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-Accent1">
    <w:name w:val="Colorful Grid Accent 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character" w:styleId="PageNumber">
    <w:name w:val="page number"/>
    <w:rPr>
      <w:rFonts w:ascii="Times New Roman" w:eastAsia="SimSun" w:hAnsi="Times New Roman" w:cs="Simplified Arabic"/>
      <w:sz w:val="24"/>
      <w:szCs w:val="24"/>
      <w:lang w:val="en-GB" w:bidi="ar-A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rFonts w:ascii="Times New Roman" w:eastAsia="SimSun" w:hAnsi="Times New Roman" w:cs="Simplified Arabic"/>
      <w:sz w:val="18"/>
      <w:szCs w:val="18"/>
      <w:lang w:val="en-GB" w:bidi="ar-AE"/>
    </w:rPr>
  </w:style>
  <w:style w:type="character" w:styleId="FootnoteReference">
    <w:name w:val="footnote reference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Normal"/>
    <w:pPr>
      <w:ind w:left="720"/>
    </w:pPr>
    <w:rPr>
      <w:lang w:eastAsia="en-GB"/>
    </w:rPr>
  </w:style>
  <w:style w:type="paragraph" w:customStyle="1" w:styleId="BodyText4">
    <w:name w:val="Body Text 4"/>
    <w:basedOn w:val="Normal"/>
    <w:pPr>
      <w:ind w:left="2880"/>
    </w:pPr>
    <w:rPr>
      <w:lang w:eastAsia="en-GB"/>
    </w:rPr>
  </w:style>
  <w:style w:type="paragraph" w:customStyle="1" w:styleId="BodyText5">
    <w:name w:val="Body Text 5"/>
    <w:basedOn w:val="Normal"/>
    <w:pPr>
      <w:ind w:left="3600"/>
    </w:pPr>
    <w:rPr>
      <w:lang w:eastAsia="en-GB"/>
    </w:rPr>
  </w:style>
  <w:style w:type="paragraph" w:customStyle="1" w:styleId="BodyText6">
    <w:name w:val="Body Text 6"/>
    <w:basedOn w:val="Normal"/>
    <w:pPr>
      <w:ind w:left="4320"/>
    </w:pPr>
    <w:rPr>
      <w:lang w:eastAsia="en-GB"/>
    </w:rPr>
  </w:style>
  <w:style w:type="paragraph" w:customStyle="1" w:styleId="BodyText7">
    <w:name w:val="Body Text 7"/>
    <w:basedOn w:val="Normal"/>
    <w:pPr>
      <w:ind w:left="5041"/>
    </w:pPr>
    <w:rPr>
      <w:lang w:eastAsia="en-GB"/>
    </w:rPr>
  </w:style>
  <w:style w:type="paragraph" w:customStyle="1" w:styleId="FooterRight">
    <w:name w:val="Footer Right"/>
    <w:basedOn w:val="Footer"/>
    <w:pPr>
      <w:jc w:val="right"/>
    </w:pPr>
  </w:style>
  <w:style w:type="paragraph" w:customStyle="1" w:styleId="Footnote">
    <w:name w:val="Footnote"/>
    <w:basedOn w:val="FootnoteText"/>
    <w:pPr>
      <w:tabs>
        <w:tab w:val="left" w:pos="3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qFormat/>
    <w:pPr>
      <w:spacing w:after="0"/>
    </w:pPr>
  </w:style>
  <w:style w:type="paragraph" w:customStyle="1" w:styleId="NormalBold">
    <w:name w:val="NormalBold"/>
    <w:basedOn w:val="Normal"/>
    <w:next w:val="Normal"/>
    <w:rPr>
      <w:b/>
      <w:bCs/>
    </w:rPr>
  </w:style>
  <w:style w:type="paragraph" w:customStyle="1" w:styleId="NormalBoldNS">
    <w:name w:val="NormalBoldNS"/>
    <w:basedOn w:val="Normal"/>
    <w:next w:val="Normal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Normal"/>
    <w:pPr>
      <w:spacing w:after="120"/>
      <w:ind w:left="340"/>
    </w:pPr>
    <w:rPr>
      <w:sz w:val="20"/>
      <w:szCs w:val="20"/>
    </w:rPr>
  </w:style>
  <w:style w:type="paragraph" w:styleId="TOCHeading">
    <w:name w:val="TOC Heading"/>
    <w:basedOn w:val="Normal"/>
    <w:next w:val="Normal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Normal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Subtitle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val="en-GB" w:bidi="ar-AE"/>
    </w:rPr>
  </w:style>
  <w:style w:type="paragraph" w:customStyle="1" w:styleId="NormalLeft">
    <w:name w:val="NormalLeft"/>
    <w:basedOn w:val="Normal"/>
    <w:next w:val="Normal"/>
    <w:pPr>
      <w:jc w:val="left"/>
    </w:pPr>
  </w:style>
  <w:style w:type="paragraph" w:styleId="Bibliography">
    <w:name w:val="Bibliography"/>
    <w:basedOn w:val="Normal"/>
    <w:next w:val="Normal"/>
  </w:style>
  <w:style w:type="table" w:customStyle="1" w:styleId="ColorfulGrid1">
    <w:name w:val="Colorful Grid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TableNormal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Quote">
    <w:name w:val="Quote"/>
    <w:basedOn w:val="Normal"/>
    <w:next w:val="Normal"/>
    <w:link w:val="QuoteChar"/>
    <w:qFormat/>
    <w:rPr>
      <w:rFonts w:cs="Simplified Arabic"/>
      <w:i/>
      <w:iCs/>
      <w:color w:val="000000"/>
    </w:rPr>
  </w:style>
  <w:style w:type="character" w:customStyle="1" w:styleId="QuoteChar">
    <w:name w:val="Quote Char"/>
    <w:link w:val="Quote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Normal"/>
    <w:next w:val="BodyText3"/>
    <w:link w:val="StandardL9Char"/>
    <w:pPr>
      <w:tabs>
        <w:tab w:val="left" w:pos="2160"/>
      </w:tabs>
      <w:ind w:left="2160" w:hanging="720"/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rFonts w:cs="Simplified Arabic"/>
      <w:sz w:val="24"/>
      <w:szCs w:val="24"/>
      <w:lang w:val="en-GB" w:bidi="ar-AE"/>
    </w:rPr>
  </w:style>
  <w:style w:type="paragraph" w:customStyle="1" w:styleId="StandardL8">
    <w:name w:val="Standard L8"/>
    <w:basedOn w:val="Normal"/>
    <w:next w:val="BodyText2"/>
    <w:link w:val="StandardL8Char"/>
    <w:pPr>
      <w:tabs>
        <w:tab w:val="left" w:pos="1440"/>
      </w:tabs>
      <w:ind w:left="1440" w:hanging="720"/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rFonts w:cs="Simplified Arabic"/>
      <w:sz w:val="24"/>
      <w:szCs w:val="24"/>
      <w:lang w:val="en-GB" w:bidi="ar-AE"/>
    </w:rPr>
  </w:style>
  <w:style w:type="paragraph" w:customStyle="1" w:styleId="StandardL7">
    <w:name w:val="Standard L7"/>
    <w:basedOn w:val="Normal"/>
    <w:next w:val="BodyText6"/>
    <w:link w:val="StandardL7Char"/>
    <w:pPr>
      <w:tabs>
        <w:tab w:val="left" w:pos="4320"/>
      </w:tabs>
      <w:ind w:left="4321" w:hanging="721"/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rFonts w:cs="Simplified Arabic"/>
      <w:sz w:val="24"/>
      <w:szCs w:val="24"/>
      <w:lang w:val="en-GB" w:bidi="ar-AE"/>
    </w:rPr>
  </w:style>
  <w:style w:type="paragraph" w:customStyle="1" w:styleId="StandardL6">
    <w:name w:val="Standard L6"/>
    <w:basedOn w:val="Normal"/>
    <w:next w:val="BodyText5"/>
    <w:link w:val="StandardL6Char"/>
    <w:pPr>
      <w:tabs>
        <w:tab w:val="left" w:pos="3600"/>
      </w:tabs>
      <w:ind w:left="3600" w:hanging="720"/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rFonts w:cs="Simplified Arabic"/>
      <w:sz w:val="24"/>
      <w:szCs w:val="24"/>
      <w:lang w:val="en-GB" w:bidi="ar-AE"/>
    </w:rPr>
  </w:style>
  <w:style w:type="paragraph" w:customStyle="1" w:styleId="StandardL5">
    <w:name w:val="Standard L5"/>
    <w:basedOn w:val="Normal"/>
    <w:next w:val="BodyText4"/>
    <w:link w:val="StandardL5Char"/>
    <w:pPr>
      <w:tabs>
        <w:tab w:val="left" w:pos="2880"/>
      </w:tabs>
      <w:ind w:left="2880" w:hanging="720"/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rFonts w:cs="Simplified Arabic"/>
      <w:sz w:val="24"/>
      <w:szCs w:val="24"/>
      <w:lang w:val="en-GB" w:bidi="ar-AE"/>
    </w:rPr>
  </w:style>
  <w:style w:type="paragraph" w:customStyle="1" w:styleId="BulletL9">
    <w:name w:val="Bullet L9"/>
    <w:basedOn w:val="Normal"/>
    <w:link w:val="BulletL9Char"/>
    <w:pPr>
      <w:tabs>
        <w:tab w:val="left" w:pos="0"/>
      </w:tabs>
      <w:ind w:left="1"/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rFonts w:cs="Simplified Arabic"/>
      <w:sz w:val="24"/>
      <w:szCs w:val="24"/>
      <w:lang w:val="en-GB" w:bidi="ar-AE"/>
    </w:rPr>
  </w:style>
  <w:style w:type="paragraph" w:customStyle="1" w:styleId="BulletL8">
    <w:name w:val="Bullet L8"/>
    <w:basedOn w:val="Normal"/>
    <w:link w:val="BulletL8Char"/>
    <w:pPr>
      <w:tabs>
        <w:tab w:val="left" w:pos="0"/>
      </w:tabs>
      <w:ind w:left="1"/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rFonts w:cs="Simplified Arabic"/>
      <w:sz w:val="24"/>
      <w:szCs w:val="24"/>
      <w:lang w:val="en-GB" w:bidi="ar-AE"/>
    </w:rPr>
  </w:style>
  <w:style w:type="paragraph" w:customStyle="1" w:styleId="BulletL7">
    <w:name w:val="Bullet L7"/>
    <w:basedOn w:val="Normal"/>
    <w:link w:val="BulletL7Char"/>
    <w:pPr>
      <w:tabs>
        <w:tab w:val="left" w:pos="5040"/>
      </w:tabs>
      <w:ind w:left="5041" w:hanging="720"/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rFonts w:cs="Simplified Arabic"/>
      <w:sz w:val="24"/>
      <w:szCs w:val="24"/>
      <w:lang w:val="en-GB" w:bidi="ar-AE"/>
    </w:rPr>
  </w:style>
  <w:style w:type="paragraph" w:customStyle="1" w:styleId="BulletL6">
    <w:name w:val="Bullet L6"/>
    <w:basedOn w:val="Normal"/>
    <w:link w:val="BulletL6Char"/>
    <w:pPr>
      <w:tabs>
        <w:tab w:val="left" w:pos="4320"/>
      </w:tabs>
      <w:ind w:left="4321" w:hanging="720"/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rFonts w:cs="Simplified Arabic"/>
      <w:sz w:val="24"/>
      <w:szCs w:val="24"/>
      <w:lang w:val="en-GB" w:bidi="ar-AE"/>
    </w:rPr>
  </w:style>
  <w:style w:type="paragraph" w:customStyle="1" w:styleId="BulletL5">
    <w:name w:val="Bullet L5"/>
    <w:basedOn w:val="Normal"/>
    <w:link w:val="BulletL5Char"/>
    <w:pPr>
      <w:tabs>
        <w:tab w:val="left" w:pos="3600"/>
      </w:tabs>
      <w:ind w:left="3601" w:hanging="720"/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rFonts w:cs="Simplified Arabic"/>
      <w:sz w:val="24"/>
      <w:szCs w:val="24"/>
      <w:lang w:val="en-GB" w:bidi="ar-AE"/>
    </w:rPr>
  </w:style>
  <w:style w:type="paragraph" w:customStyle="1" w:styleId="BulletL4">
    <w:name w:val="Bullet L4"/>
    <w:basedOn w:val="Normal"/>
    <w:link w:val="BulletL4Char"/>
    <w:pPr>
      <w:tabs>
        <w:tab w:val="left" w:pos="2880"/>
      </w:tabs>
      <w:ind w:left="2881" w:hanging="720"/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rFonts w:cs="Simplified Arabic"/>
      <w:sz w:val="24"/>
      <w:szCs w:val="24"/>
      <w:lang w:val="en-GB" w:bidi="ar-AE"/>
    </w:rPr>
  </w:style>
  <w:style w:type="paragraph" w:customStyle="1" w:styleId="BulletL3">
    <w:name w:val="Bullet L3"/>
    <w:basedOn w:val="Normal"/>
    <w:link w:val="BulletL3Char"/>
    <w:pPr>
      <w:tabs>
        <w:tab w:val="left" w:pos="2160"/>
      </w:tabs>
      <w:ind w:left="2161" w:hanging="720"/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rFonts w:cs="Simplified Arabic"/>
      <w:sz w:val="24"/>
      <w:szCs w:val="24"/>
      <w:lang w:val="en-GB" w:bidi="ar-AE"/>
    </w:rPr>
  </w:style>
  <w:style w:type="paragraph" w:customStyle="1" w:styleId="BulletL2">
    <w:name w:val="Bullet L2"/>
    <w:basedOn w:val="Normal"/>
    <w:link w:val="BulletL2Char"/>
    <w:pPr>
      <w:tabs>
        <w:tab w:val="left" w:pos="1440"/>
      </w:tabs>
      <w:ind w:left="1441" w:hanging="720"/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rFonts w:cs="Simplified Arabic"/>
      <w:sz w:val="24"/>
      <w:szCs w:val="24"/>
      <w:lang w:val="en-GB" w:bidi="ar-AE"/>
    </w:rPr>
  </w:style>
  <w:style w:type="paragraph" w:customStyle="1" w:styleId="BulletL1">
    <w:name w:val="Bullet L1"/>
    <w:basedOn w:val="Normal"/>
    <w:link w:val="BulletL1Char"/>
    <w:pPr>
      <w:tabs>
        <w:tab w:val="left" w:pos="720"/>
      </w:tabs>
      <w:ind w:left="721" w:hanging="720"/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rFonts w:cs="Simplified Arabic"/>
      <w:sz w:val="24"/>
      <w:szCs w:val="24"/>
      <w:lang w:val="en-GB" w:bidi="ar-AE"/>
    </w:rPr>
  </w:style>
  <w:style w:type="paragraph" w:customStyle="1" w:styleId="StandardL4">
    <w:name w:val="Standard L4"/>
    <w:basedOn w:val="Normal"/>
    <w:next w:val="BodyText3"/>
    <w:link w:val="StandardL4Char"/>
    <w:pPr>
      <w:tabs>
        <w:tab w:val="left" w:pos="2160"/>
      </w:tabs>
      <w:ind w:left="2160" w:hanging="720"/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rFonts w:cs="Simplified Arabic"/>
      <w:sz w:val="24"/>
      <w:szCs w:val="24"/>
      <w:lang w:val="en-GB" w:bidi="ar-AE"/>
    </w:rPr>
  </w:style>
  <w:style w:type="paragraph" w:customStyle="1" w:styleId="StandardL3">
    <w:name w:val="Standard L3"/>
    <w:basedOn w:val="Normal"/>
    <w:next w:val="BodyText2"/>
    <w:link w:val="StandardL3Char"/>
    <w:pPr>
      <w:tabs>
        <w:tab w:val="left" w:pos="1440"/>
      </w:tabs>
      <w:ind w:left="1440" w:hanging="720"/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rFonts w:cs="Simplified Arabic"/>
      <w:sz w:val="24"/>
      <w:szCs w:val="24"/>
      <w:lang w:val="en-GB" w:bidi="ar-AE"/>
    </w:rPr>
  </w:style>
  <w:style w:type="paragraph" w:customStyle="1" w:styleId="StandardL2">
    <w:name w:val="Standard L2"/>
    <w:basedOn w:val="Normal"/>
    <w:next w:val="BodyText1"/>
    <w:link w:val="StandardL2Char"/>
    <w:pPr>
      <w:tabs>
        <w:tab w:val="left" w:pos="720"/>
      </w:tabs>
      <w:ind w:left="720" w:hanging="720"/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rFonts w:cs="Simplified Arabic"/>
      <w:sz w:val="24"/>
      <w:szCs w:val="24"/>
      <w:lang w:val="en-GB" w:bidi="ar-AE"/>
    </w:rPr>
  </w:style>
  <w:style w:type="paragraph" w:customStyle="1" w:styleId="StandardL1">
    <w:name w:val="Standard L1"/>
    <w:basedOn w:val="Normal"/>
    <w:next w:val="BodyText1"/>
    <w:link w:val="StandardL1Char"/>
    <w:pPr>
      <w:keepNext/>
      <w:tabs>
        <w:tab w:val="left" w:pos="720"/>
      </w:tabs>
      <w:suppressAutoHyphens/>
      <w:ind w:left="720" w:hanging="720"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rFonts w:cs="Simplified Arabic"/>
      <w:b/>
      <w:caps/>
      <w:sz w:val="24"/>
      <w:szCs w:val="24"/>
      <w:lang w:val="en-GB"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0">
    <w:name w:val="Normal + Left"/>
    <w:basedOn w:val="Bullet1"/>
    <w:pPr>
      <w:spacing w:before="0"/>
      <w:ind w:left="644" w:hanging="360"/>
    </w:pPr>
    <w:rPr>
      <w:rFonts w:eastAsia="FangSong_GB2312"/>
      <w:bCs/>
      <w:sz w:val="21"/>
      <w:szCs w:val="21"/>
    </w:rPr>
  </w:style>
  <w:style w:type="paragraph" w:styleId="Revision">
    <w:name w:val="Revision"/>
    <w:hidden/>
    <w:uiPriority w:val="99"/>
    <w:unhideWhenUsed/>
    <w:rsid w:val="004A4357"/>
    <w:rPr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576</Characters>
  <Application>Microsoft Office Word</Application>
  <DocSecurity>0</DocSecurity>
  <Lines>24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2025-08-12T03:01:00Z</dcterms:created>
  <dcterms:modified xsi:type="dcterms:W3CDTF">2025-08-12T03:20:00Z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 Code">
    <vt:lpwstr>10788676</vt:lpwstr>
  </property>
  <property fmtid="{D5CDD505-2E9C-101B-9397-08002B2CF9AE}" pid="3" name="Matter Number">
    <vt:lpwstr>L-361732</vt:lpwstr>
  </property>
  <property fmtid="{D5CDD505-2E9C-101B-9397-08002B2CF9AE}" pid="4" name="Document Number">
    <vt:lpwstr>3212888352</vt:lpwstr>
  </property>
  <property fmtid="{D5CDD505-2E9C-101B-9397-08002B2CF9AE}" pid="5" name="Last Modified">
    <vt:lpwstr>12 Aug 2025</vt:lpwstr>
  </property>
  <property fmtid="{D5CDD505-2E9C-101B-9397-08002B2CF9AE}" pid="6" name="Version">
    <vt:lpwstr>6</vt:lpwstr>
  </property>
</Properties>
</file>