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9CC31">
      <w:pPr>
        <w:widowControl/>
        <w:spacing w:after="24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GB" w:bidi="ar-AE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GB" w:bidi="ar-AE"/>
        </w:rPr>
        <w:t>经营者集中简易案件公示表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 w14:paraId="2D2C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40" w:type="dxa"/>
            <w:shd w:val="clear" w:color="auto" w:fill="auto"/>
            <w:vAlign w:val="center"/>
          </w:tcPr>
          <w:p w14:paraId="79357732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318E94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AstraZeneca Continent B.V.与深圳康泰生物制品股份有限公司新设合营企业案</w:t>
            </w:r>
          </w:p>
        </w:tc>
      </w:tr>
      <w:tr w14:paraId="232B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940" w:type="dxa"/>
            <w:shd w:val="clear" w:color="auto" w:fill="auto"/>
            <w:vAlign w:val="center"/>
          </w:tcPr>
          <w:p w14:paraId="1F0139A4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1723DF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AstraZeneca Continent B.V.（“阿斯利康”）通过其关联实体与深圳康泰生物制品股份有限公司（“康泰生物”）签署协议，拟在北京市新设一家合营企业。合营企业将以A12疫苗为初始重点从事创新疫苗的开发、生产和商业利用。交易后，阿斯利康、康泰生物将分别持有合营企业50%、50%的股权，共同控制合营企业。</w:t>
            </w:r>
          </w:p>
        </w:tc>
      </w:tr>
      <w:tr w14:paraId="38B4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940" w:type="dxa"/>
            <w:vMerge w:val="restart"/>
            <w:shd w:val="clear" w:color="auto" w:fill="auto"/>
            <w:vAlign w:val="center"/>
          </w:tcPr>
          <w:p w14:paraId="1BD9AC3F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参与集中的经营者简介（每个限100字以内）</w:t>
            </w:r>
          </w:p>
        </w:tc>
        <w:tc>
          <w:tcPr>
            <w:tcW w:w="1607" w:type="dxa"/>
            <w:vAlign w:val="center"/>
          </w:tcPr>
          <w:p w14:paraId="5C5F78AD">
            <w:pPr>
              <w:pStyle w:val="3"/>
              <w:keepNext w:val="0"/>
              <w:keepLines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阿斯利康</w:t>
            </w:r>
          </w:p>
        </w:tc>
        <w:tc>
          <w:tcPr>
            <w:tcW w:w="6093" w:type="dxa"/>
            <w:vAlign w:val="center"/>
          </w:tcPr>
          <w:p w14:paraId="22A89D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阿斯利康于1989年9月5日成立于荷兰，主要从事咨询服务、企业管理、融资以及为债务提供抵押或担保等业务，以及与之相关的支持性活动。</w:t>
            </w:r>
          </w:p>
          <w:p w14:paraId="48B16B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阿斯利康的最终控制人为AstraZeneca PLC，主要从事制药业务。</w:t>
            </w:r>
          </w:p>
        </w:tc>
      </w:tr>
      <w:tr w14:paraId="3B87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284BC5B1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3F0B32AE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.</w:t>
            </w:r>
            <w:r>
              <w:rPr>
                <w:rFonts w:hint="eastAsia"/>
                <w:sz w:val="24"/>
              </w:rPr>
              <w:t>康泰生物</w:t>
            </w:r>
          </w:p>
        </w:tc>
        <w:tc>
          <w:tcPr>
            <w:tcW w:w="6093" w:type="dxa"/>
            <w:vAlign w:val="center"/>
          </w:tcPr>
          <w:p w14:paraId="354D47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cs="宋体"/>
                <w:bCs/>
                <w:color w:val="000000"/>
                <w:sz w:val="24"/>
              </w:rPr>
            </w:pPr>
            <w:r>
              <w:rPr>
                <w:rFonts w:hint="eastAsia" w:cs="宋体"/>
                <w:bCs/>
                <w:color w:val="000000"/>
                <w:sz w:val="24"/>
              </w:rPr>
              <w:t>康泰生物于1992年9月8日成立于广东省深圳市，为深圳证券交易所上市公司，主要从事人用疫苗的研发、生产和销售业务。</w:t>
            </w:r>
          </w:p>
          <w:p w14:paraId="6D9A92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sz w:val="24"/>
              </w:rPr>
              <w:t>康泰生物的最终控制人为自然人</w:t>
            </w:r>
            <w:r>
              <w:rPr>
                <w:rFonts w:hint="eastAsia" w:cs="宋体"/>
                <w:bCs/>
                <w:color w:val="000000"/>
                <w:sz w:val="24"/>
                <w:highlight w:val="none"/>
              </w:rPr>
              <w:t>杜伟民，</w:t>
            </w:r>
            <w:r>
              <w:rPr>
                <w:rFonts w:hint="eastAsia" w:cs="宋体"/>
                <w:bCs/>
                <w:color w:val="000000"/>
                <w:sz w:val="24"/>
              </w:rPr>
              <w:t>主要</w:t>
            </w:r>
            <w:r>
              <w:rPr>
                <w:rFonts w:hint="eastAsia" w:cs="宋体"/>
                <w:bCs/>
                <w:color w:val="000000"/>
                <w:sz w:val="24"/>
                <w:lang w:eastAsia="zh-CN"/>
              </w:rPr>
              <w:t>通过康泰生物</w:t>
            </w:r>
            <w:r>
              <w:rPr>
                <w:rFonts w:hint="eastAsia" w:cs="宋体"/>
                <w:bCs/>
                <w:color w:val="000000"/>
                <w:sz w:val="24"/>
              </w:rPr>
              <w:t>从事人用疫苗的研发、生产和销售业务。</w:t>
            </w:r>
          </w:p>
        </w:tc>
      </w:tr>
      <w:tr w14:paraId="0529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40" w:type="dxa"/>
            <w:vMerge w:val="restart"/>
            <w:shd w:val="clear" w:color="auto" w:fill="auto"/>
            <w:vAlign w:val="center"/>
          </w:tcPr>
          <w:p w14:paraId="1CDAEE86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0B5C9C26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1、在同一相关市场，所有参与集中的经营者所占市场份额之和小于15%。</w:t>
            </w:r>
          </w:p>
        </w:tc>
      </w:tr>
      <w:tr w14:paraId="10FB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512E7BBC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44CDB4F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2、存在上下游关系的参与集中的经营者，在上下游市场所占的市场份额均小于25%。</w:t>
            </w:r>
          </w:p>
        </w:tc>
      </w:tr>
      <w:tr w14:paraId="18A3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2E86D341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E9B20BA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14:paraId="089F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1B79EDAE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2B80FB4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4、参与集中的经营者在中国境外设立合营企业，合营企业不在中国境内从事经济活动。</w:t>
            </w:r>
          </w:p>
        </w:tc>
      </w:tr>
      <w:tr w14:paraId="449FC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631D6B5D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D3E6F87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 w14:paraId="1E0C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5BA10F85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6D0149E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6、由两个以上的经营者共同控制的合营企业，通过集中被其中一个或一个以上经营者控制。</w:t>
            </w:r>
          </w:p>
        </w:tc>
      </w:tr>
      <w:tr w14:paraId="353D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40" w:type="dxa"/>
            <w:shd w:val="clear" w:color="auto" w:fill="auto"/>
            <w:vAlign w:val="center"/>
          </w:tcPr>
          <w:p w14:paraId="473378AC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676A6D1C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/>
                <w:lang w:eastAsia="zh-CN"/>
              </w:rPr>
            </w:pPr>
            <w:r>
              <w:rPr>
                <w:rFonts w:hint="eastAsia" w:cs="Times New Roman"/>
                <w:b/>
                <w:bCs/>
                <w:lang w:eastAsia="zh-CN"/>
              </w:rPr>
              <w:t>混合集中：</w:t>
            </w:r>
          </w:p>
          <w:p w14:paraId="7DD06964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Times New Roman"/>
                <w:bCs/>
                <w:lang w:eastAsia="zh-CN"/>
              </w:rPr>
            </w:pPr>
            <w:r>
              <w:rPr>
                <w:rFonts w:hint="eastAsia" w:cs="Times New Roman"/>
                <w:bCs/>
                <w:lang w:eastAsia="zh-CN"/>
              </w:rPr>
              <w:t>中国境内呼吸道合胞病毒疫苗市场：</w:t>
            </w:r>
          </w:p>
          <w:p w14:paraId="3968874F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Cs/>
                <w:lang w:eastAsia="zh-CN"/>
              </w:rPr>
              <w:t>康泰生物（</w:t>
            </w:r>
            <w:r>
              <w:rPr>
                <w:rFonts w:hint="default" w:cs="Times New Roman"/>
                <w:bCs/>
                <w:lang w:eastAsia="zh-CN"/>
              </w:rPr>
              <w:t>2030</w:t>
            </w:r>
            <w:r>
              <w:rPr>
                <w:rFonts w:hint="eastAsia" w:cs="Times New Roman"/>
                <w:bCs/>
                <w:lang w:eastAsia="zh-CN"/>
              </w:rPr>
              <w:t>年预估）：</w:t>
            </w:r>
            <w:r>
              <w:rPr>
                <w:rFonts w:hint="default" w:cs="Times New Roman"/>
                <w:bCs/>
                <w:lang w:eastAsia="zh-CN"/>
              </w:rPr>
              <w:t>0-5%</w:t>
            </w:r>
            <w:r>
              <w:rPr>
                <w:rFonts w:hint="eastAsia" w:cs="Times New Roman"/>
                <w:bCs/>
                <w:lang w:eastAsia="zh-CN"/>
              </w:rPr>
              <w:t>，合营企业（</w:t>
            </w:r>
            <w:r>
              <w:rPr>
                <w:rFonts w:hint="default" w:cs="Times New Roman"/>
                <w:bCs/>
                <w:lang w:eastAsia="zh-CN"/>
              </w:rPr>
              <w:t>2030</w:t>
            </w:r>
            <w:r>
              <w:rPr>
                <w:rFonts w:hint="eastAsia" w:cs="Times New Roman"/>
                <w:bCs/>
                <w:lang w:eastAsia="zh-CN"/>
              </w:rPr>
              <w:t>年预估）：</w:t>
            </w:r>
            <w:r>
              <w:rPr>
                <w:rFonts w:hint="default" w:cs="Times New Roman"/>
                <w:bCs/>
                <w:lang w:eastAsia="zh-CN"/>
              </w:rPr>
              <w:t>0-5%</w:t>
            </w:r>
          </w:p>
        </w:tc>
      </w:tr>
    </w:tbl>
    <w:p w14:paraId="0E90F0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EDBF1"/>
    <w:multiLevelType w:val="singleLevel"/>
    <w:tmpl w:val="BFDEDBF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F30A3"/>
    <w:rsid w:val="63A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2025-07-08T07:20:00Z</dcterms:created>
  <dc:creator>胡翌婧</dc:creator>
  <cp:lastModifiedBy>胡翌婧</cp:lastModifiedBy>
  <dcterms:modified xsi:type="dcterms:W3CDTF">2025-07-08T07:20:45Z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16C7F9F7FBC140B39E2F372B3C3D7F5E_11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