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1BF07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170795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非处方药说明书范本</w:t>
      </w:r>
    </w:p>
    <w:p w14:paraId="18848719">
      <w:pPr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20"/>
        </w:rPr>
        <w:t xml:space="preserve"> </w:t>
      </w:r>
      <w:r>
        <w:rPr>
          <w:rFonts w:ascii="宋体" w:hAnsi="宋体" w:cs="宋体"/>
          <w:b/>
          <w:sz w:val="30"/>
          <w:szCs w:val="20"/>
        </w:rPr>
        <w:t>抗感解毒片</w:t>
      </w:r>
    </w:p>
    <w:p w14:paraId="188DE941">
      <w:pPr>
        <w:keepNext/>
        <w:keepLines/>
        <w:spacing w:before="260" w:after="260" w:line="408" w:lineRule="auto"/>
        <w:jc w:val="center"/>
        <w:outlineLvl w:val="1"/>
        <w:rPr>
          <w:rFonts w:ascii="宋体" w:hAnsi="宋体" w:cs="宋体"/>
          <w:b/>
          <w:sz w:val="30"/>
          <w:szCs w:val="20"/>
        </w:rPr>
      </w:pPr>
      <w:r>
        <w:rPr>
          <w:rFonts w:ascii="宋体" w:hAnsi="宋体" w:cs="宋体"/>
          <w:b/>
          <w:sz w:val="30"/>
          <w:szCs w:val="20"/>
        </w:rPr>
        <w:t>抗感解毒片说明书</w:t>
      </w:r>
    </w:p>
    <w:p w14:paraId="65F04463">
      <w:r>
        <w:rPr>
          <w:b/>
          <w:bCs/>
          <w:kern w:val="0"/>
          <w:lang w:bidi="ar"/>
        </w:rPr>
        <w:t>请仔细阅读说明书并按说明使用或在药师指导下购买和使用</w:t>
      </w:r>
    </w:p>
    <w:p w14:paraId="24591C27">
      <w:r>
        <w:rPr>
          <w:rFonts w:hint="eastAsia"/>
        </w:rPr>
        <w:t>[药品名称]</w:t>
      </w:r>
    </w:p>
    <w:p w14:paraId="1E553EF1">
      <w:r>
        <w:rPr>
          <w:rFonts w:hint="eastAsia"/>
        </w:rPr>
        <w:t>通用名称：抗感解毒片</w:t>
      </w:r>
    </w:p>
    <w:p w14:paraId="61953FDE">
      <w:r>
        <w:rPr>
          <w:rFonts w:hint="eastAsia"/>
        </w:rPr>
        <w:t>汉语拼音：</w:t>
      </w:r>
    </w:p>
    <w:p w14:paraId="513727A7">
      <w:r>
        <w:rPr>
          <w:rFonts w:hint="eastAsia"/>
        </w:rPr>
        <w:t>[成份]</w:t>
      </w:r>
    </w:p>
    <w:p w14:paraId="70762DA2">
      <w:r>
        <w:rPr>
          <w:rFonts w:hint="eastAsia"/>
        </w:rPr>
        <w:t>[性状]</w:t>
      </w:r>
    </w:p>
    <w:p w14:paraId="5DB7904D">
      <w:r>
        <w:rPr>
          <w:rFonts w:hint="eastAsia"/>
        </w:rPr>
        <w:t>[功能主治]清热解毒。用于风热感冒、流感。</w:t>
      </w:r>
    </w:p>
    <w:p w14:paraId="36E0DB3E">
      <w:r>
        <w:rPr>
          <w:rFonts w:hint="eastAsia"/>
        </w:rPr>
        <w:t>[规格]每素片重</w:t>
      </w:r>
      <w:r>
        <w:t>0.3</w:t>
      </w:r>
      <w:r>
        <w:rPr>
          <w:rFonts w:hint="eastAsia"/>
        </w:rPr>
        <w:t>克</w:t>
      </w:r>
    </w:p>
    <w:p w14:paraId="2EA2A41E">
      <w:r>
        <w:rPr>
          <w:rFonts w:hint="eastAsia"/>
        </w:rPr>
        <w:t>[用法用量]口服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一次</w:t>
      </w:r>
      <w:r>
        <w:t>4片，一日3次。</w:t>
      </w:r>
    </w:p>
    <w:p w14:paraId="77ECF9E7">
      <w:r>
        <w:rPr>
          <w:rFonts w:hint="eastAsia"/>
        </w:rPr>
        <w:t>[不良反应]监测数据显示，抗感解毒制剂可见以下不良反应报告：恶心、呕吐、腹痛、腹泻、口干、皮疹、瘙痒、头晕等。</w:t>
      </w:r>
    </w:p>
    <w:p w14:paraId="5BD2CFA6">
      <w:pPr>
        <w:rPr>
          <w:b/>
        </w:rPr>
      </w:pPr>
      <w:r>
        <w:rPr>
          <w:rFonts w:hint="eastAsia"/>
          <w:b/>
        </w:rPr>
        <w:t>[禁忌]</w:t>
      </w:r>
    </w:p>
    <w:p w14:paraId="114926A7">
      <w:pPr>
        <w:rPr>
          <w:b/>
        </w:rPr>
      </w:pPr>
      <w:r>
        <w:rPr>
          <w:rFonts w:hint="eastAsia"/>
          <w:b/>
        </w:rPr>
        <w:t>1.对本品及所含成份过敏者禁用。</w:t>
      </w:r>
    </w:p>
    <w:p w14:paraId="42070FFE">
      <w:pPr>
        <w:rPr>
          <w:b/>
        </w:rPr>
      </w:pPr>
      <w:r>
        <w:rPr>
          <w:rFonts w:hint="eastAsia"/>
          <w:b/>
        </w:rPr>
        <w:t>2.</w:t>
      </w:r>
      <w:r>
        <w:rPr>
          <w:b/>
        </w:rPr>
        <w:t>孕妇禁用</w:t>
      </w:r>
      <w:r>
        <w:rPr>
          <w:rFonts w:hint="eastAsia"/>
          <w:b/>
        </w:rPr>
        <w:t>。</w:t>
      </w:r>
    </w:p>
    <w:p w14:paraId="700910D5">
      <w:pPr>
        <w:rPr>
          <w:b/>
        </w:rPr>
      </w:pPr>
      <w:r>
        <w:rPr>
          <w:rFonts w:hint="eastAsia"/>
          <w:b/>
        </w:rPr>
        <w:t>[注意事项]</w:t>
      </w:r>
    </w:p>
    <w:p w14:paraId="3891DFE4">
      <w:pPr>
        <w:rPr>
          <w:b/>
          <w:snapToGrid w:val="0"/>
        </w:rPr>
      </w:pPr>
      <w:r>
        <w:rPr>
          <w:b/>
          <w:snapToGrid w:val="0"/>
        </w:rPr>
        <w:t>1.忌烟、酒及辛辣、生冷、油腻食物。</w:t>
      </w:r>
    </w:p>
    <w:p w14:paraId="1BEE75CA">
      <w:pPr>
        <w:rPr>
          <w:b/>
          <w:snapToGrid w:val="0"/>
        </w:rPr>
      </w:pPr>
      <w:r>
        <w:rPr>
          <w:b/>
          <w:snapToGrid w:val="0"/>
        </w:rPr>
        <w:t>2.不宜在服药期间同时服滋补性中药。</w:t>
      </w:r>
    </w:p>
    <w:p w14:paraId="320FC685">
      <w:pPr>
        <w:rPr>
          <w:b/>
          <w:snapToGrid w:val="0"/>
        </w:rPr>
      </w:pPr>
      <w:r>
        <w:rPr>
          <w:b/>
          <w:snapToGrid w:val="0"/>
        </w:rPr>
        <w:t>3.风寒感冒者不适用。</w:t>
      </w:r>
    </w:p>
    <w:p w14:paraId="34ECAD8E">
      <w:pPr>
        <w:rPr>
          <w:b/>
          <w:snapToGrid w:val="0"/>
        </w:rPr>
      </w:pPr>
      <w:r>
        <w:rPr>
          <w:rFonts w:hint="eastAsia"/>
          <w:b/>
          <w:snapToGrid w:val="0"/>
        </w:rPr>
        <w:t>4.脾胃虚寒者慎用。</w:t>
      </w:r>
    </w:p>
    <w:p w14:paraId="338EEB18">
      <w:pPr>
        <w:rPr>
          <w:b/>
          <w:snapToGrid w:val="0"/>
        </w:rPr>
      </w:pPr>
      <w:r>
        <w:rPr>
          <w:rFonts w:hint="eastAsia"/>
          <w:b/>
          <w:snapToGrid w:val="0"/>
        </w:rPr>
        <w:t>5.</w:t>
      </w:r>
      <w:r>
        <w:rPr>
          <w:rFonts w:hint="eastAsia"/>
          <w:b/>
          <w:bCs/>
          <w:snapToGrid w:val="0"/>
        </w:rPr>
        <w:t>发热体温超过</w:t>
      </w:r>
      <w:r>
        <w:rPr>
          <w:b/>
          <w:bCs/>
          <w:snapToGrid w:val="0"/>
        </w:rPr>
        <w:t>38.5</w:t>
      </w:r>
      <w:r>
        <w:rPr>
          <w:rFonts w:hint="eastAsia"/>
          <w:b/>
          <w:bCs/>
          <w:snapToGrid w:val="0"/>
        </w:rPr>
        <w:t>℃的患者，</w:t>
      </w:r>
      <w:r>
        <w:rPr>
          <w:rFonts w:hint="eastAsia"/>
          <w:b/>
          <w:bCs/>
        </w:rPr>
        <w:t>应</w:t>
      </w:r>
      <w:r>
        <w:rPr>
          <w:rFonts w:hint="eastAsia"/>
          <w:b/>
          <w:bCs/>
          <w:lang w:eastAsia="zh-CN"/>
        </w:rPr>
        <w:t>当</w:t>
      </w:r>
      <w:r>
        <w:rPr>
          <w:rFonts w:hint="eastAsia"/>
          <w:b/>
          <w:bCs/>
        </w:rPr>
        <w:t>去医院就诊。</w:t>
      </w:r>
    </w:p>
    <w:p w14:paraId="07C49086">
      <w:pPr>
        <w:rPr>
          <w:b/>
          <w:snapToGrid w:val="0"/>
        </w:rPr>
      </w:pPr>
      <w:r>
        <w:rPr>
          <w:rFonts w:hint="eastAsia"/>
          <w:b/>
          <w:snapToGrid w:val="0"/>
        </w:rPr>
        <w:t>6</w:t>
      </w:r>
      <w:r>
        <w:rPr>
          <w:b/>
          <w:snapToGrid w:val="0"/>
        </w:rPr>
        <w:t>.高血压、心脏病、肝病、肾病、糖尿病等患者应</w:t>
      </w:r>
      <w:r>
        <w:rPr>
          <w:rFonts w:hint="eastAsia"/>
          <w:b/>
          <w:snapToGrid w:val="0"/>
          <w:lang w:eastAsia="zh-CN"/>
        </w:rPr>
        <w:t>当</w:t>
      </w:r>
      <w:r>
        <w:rPr>
          <w:b/>
          <w:snapToGrid w:val="0"/>
        </w:rPr>
        <w:t>在医</w:t>
      </w:r>
      <w:r>
        <w:rPr>
          <w:rFonts w:hint="eastAsia"/>
          <w:b/>
          <w:snapToGrid w:val="0"/>
        </w:rPr>
        <w:t>师</w:t>
      </w:r>
      <w:r>
        <w:rPr>
          <w:b/>
          <w:snapToGrid w:val="0"/>
        </w:rPr>
        <w:t>指导下服用。</w:t>
      </w:r>
    </w:p>
    <w:p w14:paraId="4FCE22A2">
      <w:pPr>
        <w:rPr>
          <w:b/>
          <w:snapToGrid w:val="0"/>
        </w:rPr>
      </w:pPr>
      <w:r>
        <w:rPr>
          <w:rFonts w:hint="eastAsia"/>
          <w:b/>
          <w:snapToGrid w:val="0"/>
        </w:rPr>
        <w:t>7</w:t>
      </w:r>
      <w:r>
        <w:rPr>
          <w:b/>
          <w:snapToGrid w:val="0"/>
        </w:rPr>
        <w:t>.服药3天后或</w:t>
      </w:r>
      <w:r>
        <w:rPr>
          <w:rFonts w:hint="eastAsia"/>
          <w:b/>
          <w:snapToGrid w:val="0"/>
          <w:lang w:eastAsia="zh-CN"/>
        </w:rPr>
        <w:t>者</w:t>
      </w:r>
      <w:r>
        <w:rPr>
          <w:b/>
          <w:snapToGrid w:val="0"/>
        </w:rPr>
        <w:t>服药期间症状无改善，或</w:t>
      </w:r>
      <w:r>
        <w:rPr>
          <w:rFonts w:hint="eastAsia"/>
          <w:b/>
          <w:snapToGrid w:val="0"/>
          <w:lang w:eastAsia="zh-CN"/>
        </w:rPr>
        <w:t>者</w:t>
      </w:r>
      <w:r>
        <w:rPr>
          <w:b/>
          <w:snapToGrid w:val="0"/>
        </w:rPr>
        <w:t>症状加重，或</w:t>
      </w:r>
      <w:r>
        <w:rPr>
          <w:rFonts w:hint="eastAsia"/>
          <w:b/>
          <w:snapToGrid w:val="0"/>
          <w:lang w:eastAsia="zh-CN"/>
        </w:rPr>
        <w:t>者</w:t>
      </w:r>
      <w:r>
        <w:rPr>
          <w:b/>
          <w:snapToGrid w:val="0"/>
        </w:rPr>
        <w:t>出现新的严重症状如胸闷、心悸等应</w:t>
      </w:r>
      <w:r>
        <w:rPr>
          <w:rFonts w:hint="eastAsia"/>
          <w:b/>
          <w:snapToGrid w:val="0"/>
          <w:lang w:eastAsia="zh-CN"/>
        </w:rPr>
        <w:t>当</w:t>
      </w:r>
      <w:r>
        <w:rPr>
          <w:b/>
          <w:snapToGrid w:val="0"/>
        </w:rPr>
        <w:t>立即停药，去医院就诊。</w:t>
      </w:r>
    </w:p>
    <w:p w14:paraId="0C397B8C">
      <w:pPr>
        <w:rPr>
          <w:b/>
          <w:snapToGrid w:val="0"/>
        </w:rPr>
      </w:pPr>
      <w:r>
        <w:rPr>
          <w:rFonts w:hint="eastAsia"/>
          <w:b/>
          <w:snapToGrid w:val="0"/>
        </w:rPr>
        <w:t>8</w:t>
      </w:r>
      <w:r>
        <w:rPr>
          <w:b/>
          <w:snapToGrid w:val="0"/>
        </w:rPr>
        <w:t>.年老体弱者应</w:t>
      </w:r>
      <w:r>
        <w:rPr>
          <w:rFonts w:hint="eastAsia"/>
          <w:b/>
          <w:snapToGrid w:val="0"/>
          <w:lang w:eastAsia="zh-CN"/>
        </w:rPr>
        <w:t>当</w:t>
      </w:r>
      <w:r>
        <w:rPr>
          <w:b/>
          <w:snapToGrid w:val="0"/>
        </w:rPr>
        <w:t>在医师指导下服用。</w:t>
      </w:r>
    </w:p>
    <w:p w14:paraId="5C86D2C5">
      <w:pPr>
        <w:rPr>
          <w:b/>
          <w:snapToGrid w:val="0"/>
        </w:rPr>
      </w:pPr>
      <w:r>
        <w:rPr>
          <w:rFonts w:hint="eastAsia"/>
          <w:b/>
          <w:snapToGrid w:val="0"/>
        </w:rPr>
        <w:t>9</w:t>
      </w:r>
      <w:r>
        <w:rPr>
          <w:b/>
          <w:snapToGrid w:val="0"/>
        </w:rPr>
        <w:t>.过敏体质者慎用。</w:t>
      </w:r>
    </w:p>
    <w:p w14:paraId="48B9B865">
      <w:pPr>
        <w:rPr>
          <w:b/>
          <w:snapToGrid w:val="0"/>
        </w:rPr>
      </w:pPr>
      <w:r>
        <w:rPr>
          <w:rFonts w:hint="eastAsia"/>
          <w:b/>
          <w:snapToGrid w:val="0"/>
        </w:rPr>
        <w:t>10</w:t>
      </w:r>
      <w:r>
        <w:rPr>
          <w:b/>
          <w:snapToGrid w:val="0"/>
        </w:rPr>
        <w:t>.本品性状发生改变时禁止使用。</w:t>
      </w:r>
    </w:p>
    <w:p w14:paraId="7ACB506E">
      <w:pPr>
        <w:rPr>
          <w:b/>
          <w:snapToGrid w:val="0"/>
        </w:rPr>
      </w:pPr>
      <w:r>
        <w:rPr>
          <w:rFonts w:hint="eastAsia"/>
          <w:b/>
          <w:snapToGrid w:val="0"/>
        </w:rPr>
        <w:t>11</w:t>
      </w:r>
      <w:r>
        <w:rPr>
          <w:b/>
          <w:snapToGrid w:val="0"/>
        </w:rPr>
        <w:t>.请将本品放在儿童不能接触的地方。</w:t>
      </w:r>
    </w:p>
    <w:p w14:paraId="3719B91C">
      <w:pPr>
        <w:rPr>
          <w:b/>
          <w:snapToGrid w:val="0"/>
        </w:rPr>
      </w:pPr>
      <w:r>
        <w:rPr>
          <w:b/>
          <w:snapToGrid w:val="0"/>
        </w:rPr>
        <w:t>1</w:t>
      </w:r>
      <w:r>
        <w:rPr>
          <w:rFonts w:hint="eastAsia"/>
          <w:b/>
          <w:snapToGrid w:val="0"/>
        </w:rPr>
        <w:t>2</w:t>
      </w:r>
      <w:r>
        <w:rPr>
          <w:b/>
          <w:snapToGrid w:val="0"/>
        </w:rPr>
        <w:t>.如正在使用其他药品，使用本品前请咨询医师或</w:t>
      </w:r>
      <w:r>
        <w:rPr>
          <w:rFonts w:hint="eastAsia"/>
          <w:b/>
          <w:snapToGrid w:val="0"/>
          <w:lang w:eastAsia="zh-CN"/>
        </w:rPr>
        <w:t>者</w:t>
      </w:r>
      <w:r>
        <w:rPr>
          <w:b/>
          <w:snapToGrid w:val="0"/>
        </w:rPr>
        <w:t>药师。</w:t>
      </w:r>
    </w:p>
    <w:p w14:paraId="03CBC16C">
      <w:r>
        <w:t>[</w:t>
      </w:r>
      <w:r>
        <w:rPr>
          <w:rFonts w:hint="eastAsia"/>
        </w:rPr>
        <w:t>药物相互作用</w:t>
      </w:r>
      <w:r>
        <w:t>]</w:t>
      </w:r>
      <w:r>
        <w:rPr>
          <w:rFonts w:hint="eastAsia"/>
        </w:rPr>
        <w:t>如与其他药物同时使用可能会发生药物相互作用，详情请咨询医师或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药师。</w:t>
      </w:r>
    </w:p>
    <w:p w14:paraId="36C25F17">
      <w:r>
        <w:t>[</w:t>
      </w:r>
      <w:r>
        <w:rPr>
          <w:rFonts w:hint="eastAsia"/>
        </w:rPr>
        <w:t>贮藏</w:t>
      </w:r>
      <w:r>
        <w:t>]</w:t>
      </w:r>
      <w:r>
        <w:br w:type="textWrapping"/>
      </w:r>
      <w:r>
        <w:t>[</w:t>
      </w:r>
      <w:r>
        <w:rPr>
          <w:rFonts w:hint="eastAsia"/>
        </w:rPr>
        <w:t>包装</w:t>
      </w:r>
      <w:r>
        <w:t>]</w:t>
      </w:r>
      <w:r>
        <w:br w:type="textWrapping"/>
      </w:r>
      <w:r>
        <w:t>[</w:t>
      </w:r>
      <w:r>
        <w:rPr>
          <w:rFonts w:hint="eastAsia"/>
        </w:rPr>
        <w:t>有效期</w:t>
      </w:r>
      <w:r>
        <w:t>]</w:t>
      </w:r>
      <w:r>
        <w:br w:type="textWrapping"/>
      </w:r>
      <w:r>
        <w:t>[</w:t>
      </w:r>
      <w:r>
        <w:rPr>
          <w:rFonts w:hint="eastAsia"/>
        </w:rPr>
        <w:t>执行标准</w:t>
      </w:r>
      <w:r>
        <w:t>]</w:t>
      </w:r>
      <w:r>
        <w:br w:type="textWrapping"/>
      </w:r>
      <w:r>
        <w:t>[</w:t>
      </w:r>
      <w:r>
        <w:rPr>
          <w:rFonts w:hint="eastAsia"/>
        </w:rPr>
        <w:t>批准文号</w:t>
      </w:r>
      <w:r>
        <w:t>]</w:t>
      </w:r>
      <w:r>
        <w:br w:type="textWrapping"/>
      </w:r>
      <w:r>
        <w:t>[</w:t>
      </w:r>
      <w:r>
        <w:rPr>
          <w:rFonts w:hint="eastAsia"/>
        </w:rPr>
        <w:t>说明书修订日期</w:t>
      </w:r>
      <w:r>
        <w:t>]</w:t>
      </w:r>
      <w:r>
        <w:br w:type="textWrapping"/>
      </w:r>
      <w:r>
        <w:t>[</w:t>
      </w:r>
      <w:r>
        <w:rPr>
          <w:rFonts w:hint="eastAsia"/>
        </w:rPr>
        <w:t>药品上市许可持有人</w:t>
      </w:r>
      <w:r>
        <w:t>]</w:t>
      </w:r>
    </w:p>
    <w:p w14:paraId="4A8ACAB0"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>称：</w:t>
      </w:r>
      <w:r>
        <w:br w:type="textWrapping"/>
      </w:r>
      <w:r>
        <w:rPr>
          <w:rFonts w:hint="eastAsia"/>
        </w:rPr>
        <w:t>注册地址：</w:t>
      </w:r>
      <w:r>
        <w:br w:type="textWrapping"/>
      </w:r>
      <w:r>
        <w:rPr>
          <w:rFonts w:hint="eastAsia"/>
        </w:rPr>
        <w:t>邮政编码：</w:t>
      </w:r>
      <w:r>
        <w:br w:type="textWrapping"/>
      </w:r>
      <w:r>
        <w:rPr>
          <w:rFonts w:hint="eastAsia"/>
        </w:rPr>
        <w:t>电话号码：</w:t>
      </w:r>
      <w:r>
        <w:br w:type="textWrapping"/>
      </w:r>
      <w:r>
        <w:rPr>
          <w:rFonts w:hint="eastAsia"/>
        </w:rPr>
        <w:t>传真号码：</w:t>
      </w:r>
      <w:r>
        <w:br w:type="textWrapping"/>
      </w:r>
      <w:r>
        <w:rPr>
          <w:rFonts w:hint="eastAsia"/>
        </w:rPr>
        <w:t>网</w:t>
      </w:r>
      <w:r>
        <w:t xml:space="preserve">    </w:t>
      </w:r>
      <w:r>
        <w:rPr>
          <w:rFonts w:hint="eastAsia"/>
        </w:rPr>
        <w:t>址：</w:t>
      </w:r>
    </w:p>
    <w:p w14:paraId="6E0251C9">
      <w:pPr>
        <w:rPr>
          <w:b/>
          <w:bCs/>
        </w:rPr>
      </w:pPr>
      <w:r>
        <w:t>[</w:t>
      </w:r>
      <w:r>
        <w:rPr>
          <w:rFonts w:hint="eastAsia"/>
        </w:rPr>
        <w:t>生产企业</w:t>
      </w:r>
      <w:r>
        <w:t>]</w:t>
      </w:r>
      <w:r>
        <w:br w:type="textWrapping"/>
      </w:r>
      <w:r>
        <w:rPr>
          <w:rFonts w:hint="eastAsia"/>
        </w:rPr>
        <w:t>企业名称：</w:t>
      </w:r>
      <w:r>
        <w:br w:type="textWrapping"/>
      </w:r>
      <w:r>
        <w:rPr>
          <w:rFonts w:hint="eastAsia"/>
        </w:rPr>
        <w:t>生产地址：</w:t>
      </w:r>
      <w:r>
        <w:br w:type="textWrapping"/>
      </w:r>
      <w:r>
        <w:rPr>
          <w:rFonts w:hint="eastAsia"/>
          <w:b/>
          <w:bCs/>
        </w:rPr>
        <w:t>如有问题可与药品上市许可持有人联系</w:t>
      </w:r>
    </w:p>
    <w:p w14:paraId="5DEA508D">
      <w:pPr>
        <w:rPr>
          <w:b/>
          <w:bCs/>
        </w:rPr>
      </w:pPr>
    </w:p>
    <w:p w14:paraId="32F3C76C">
      <w:pPr>
        <w:spacing w:line="360" w:lineRule="auto"/>
      </w:pPr>
      <w:r>
        <w:rPr>
          <w:rFonts w:hint="eastAsia"/>
        </w:rPr>
        <w:t>（注：本说明书范本原则上不得删减，如原批准说明书的安全性内容较本范本内容更全面或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更严格的，应</w:t>
      </w:r>
      <w:r>
        <w:rPr>
          <w:rFonts w:hint="eastAsia"/>
          <w:lang w:eastAsia="zh-CN"/>
        </w:rPr>
        <w:t>当</w:t>
      </w:r>
      <w:r>
        <w:rPr>
          <w:rFonts w:hint="eastAsia"/>
        </w:rPr>
        <w:t>保留原批准内容。）</w:t>
      </w:r>
    </w:p>
    <w:p w14:paraId="115D7261">
      <w:pPr>
        <w:jc w:val="left"/>
        <w:rPr>
          <w:rFonts w:ascii="宋体" w:hAnsi="宋体" w:eastAsia="宋体"/>
          <w:b/>
          <w:sz w:val="30"/>
          <w:szCs w:val="30"/>
        </w:rPr>
      </w:pPr>
    </w:p>
    <w:p w14:paraId="71C0BC5A"/>
    <w:p w14:paraId="36B0FD9F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34C5F145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6D2CC408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6BD104D7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41E2C038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2338006D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27442B98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498297E1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2D63BA4A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073666DB">
      <w:pPr>
        <w:jc w:val="left"/>
        <w:rPr>
          <w:rFonts w:hint="eastAsia" w:ascii="宋体" w:hAnsi="宋体" w:eastAsia="宋体"/>
          <w:b/>
          <w:sz w:val="30"/>
          <w:szCs w:val="30"/>
        </w:rPr>
      </w:pPr>
    </w:p>
    <w:p w14:paraId="58E7563E">
      <w:pPr>
        <w:jc w:val="left"/>
        <w:rPr>
          <w:rFonts w:hint="default" w:ascii="Times New Roman" w:hAnsi="Times New Roman" w:eastAsia="宋体" w:cs="Times New Roman"/>
          <w:b/>
          <w:sz w:val="30"/>
          <w:szCs w:val="30"/>
        </w:rPr>
      </w:pPr>
    </w:p>
    <w:p w14:paraId="621303D2">
      <w:pPr>
        <w:jc w:val="left"/>
        <w:rPr>
          <w:rFonts w:hint="default" w:ascii="Times New Roman" w:hAnsi="Times New Roman" w:eastAsia="宋体" w:cs="Times New Roman"/>
          <w:b/>
          <w:sz w:val="30"/>
          <w:szCs w:val="30"/>
        </w:rPr>
      </w:pPr>
    </w:p>
    <w:p w14:paraId="238118EF">
      <w:pPr>
        <w:jc w:val="left"/>
        <w:rPr>
          <w:rFonts w:hint="default" w:ascii="Times New Roman" w:hAnsi="Times New Roman" w:eastAsia="宋体" w:cs="Times New Roman"/>
          <w:b/>
          <w:sz w:val="30"/>
          <w:szCs w:val="30"/>
        </w:rPr>
      </w:pPr>
    </w:p>
    <w:p w14:paraId="0777B389">
      <w:pPr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b/>
          <w:sz w:val="30"/>
          <w:szCs w:val="30"/>
        </w:rPr>
        <w:t>舒筋活络止痛膏</w:t>
      </w:r>
    </w:p>
    <w:p w14:paraId="0CE92FFC">
      <w:pPr>
        <w:keepNext/>
        <w:keepLines/>
        <w:spacing w:before="260" w:after="260" w:line="408" w:lineRule="auto"/>
        <w:jc w:val="center"/>
        <w:outlineLvl w:val="1"/>
        <w:rPr>
          <w:rFonts w:ascii="宋体" w:hAnsi="宋体" w:cs="宋体"/>
          <w:b/>
          <w:sz w:val="30"/>
          <w:szCs w:val="20"/>
        </w:rPr>
      </w:pPr>
      <w:r>
        <w:rPr>
          <w:rFonts w:hint="eastAsia" w:ascii="宋体" w:hAnsi="宋体" w:cs="宋体"/>
          <w:b/>
          <w:sz w:val="30"/>
          <w:szCs w:val="20"/>
        </w:rPr>
        <w:t>舒筋活络止痛膏说明书</w:t>
      </w:r>
    </w:p>
    <w:p w14:paraId="734F2E36"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请仔细阅读说明书并按说明使用或在药师指导下购买和使用</w:t>
      </w:r>
    </w:p>
    <w:p w14:paraId="0817E241">
      <w:pPr>
        <w:spacing w:line="300" w:lineRule="exact"/>
        <w:jc w:val="center"/>
        <w:rPr>
          <w:b/>
        </w:rPr>
      </w:pPr>
      <w:r>
        <w:rPr>
          <w:rFonts w:hint="eastAsia"/>
          <w:b/>
        </w:rPr>
        <w:t>本品含天南星</w:t>
      </w:r>
    </w:p>
    <w:p w14:paraId="75E248CB">
      <w:pPr>
        <w:spacing w:line="0" w:lineRule="atLeast"/>
        <w:rPr>
          <w:szCs w:val="21"/>
        </w:rPr>
      </w:pPr>
    </w:p>
    <w:p w14:paraId="25CA3F4E">
      <w:pPr>
        <w:spacing w:line="0" w:lineRule="atLeast"/>
        <w:rPr>
          <w:szCs w:val="21"/>
        </w:rPr>
      </w:pPr>
      <w:r>
        <w:rPr>
          <w:szCs w:val="21"/>
        </w:rPr>
        <w:t>[药品名称]</w:t>
      </w:r>
    </w:p>
    <w:p w14:paraId="393A4216">
      <w:pPr>
        <w:spacing w:line="280" w:lineRule="exact"/>
        <w:rPr>
          <w:szCs w:val="21"/>
        </w:rPr>
      </w:pPr>
      <w:r>
        <w:rPr>
          <w:szCs w:val="21"/>
        </w:rPr>
        <w:t>通用名称：</w:t>
      </w:r>
      <w:r>
        <w:rPr>
          <w:rFonts w:hint="eastAsia"/>
          <w:szCs w:val="21"/>
        </w:rPr>
        <w:t>舒筋活络止痛膏</w:t>
      </w:r>
    </w:p>
    <w:p w14:paraId="36F053BE">
      <w:pPr>
        <w:spacing w:line="280" w:lineRule="exact"/>
        <w:rPr>
          <w:szCs w:val="21"/>
        </w:rPr>
      </w:pPr>
      <w:r>
        <w:rPr>
          <w:szCs w:val="21"/>
        </w:rPr>
        <w:t>汉语拼音：</w:t>
      </w:r>
    </w:p>
    <w:p w14:paraId="6293EB6B">
      <w:pPr>
        <w:spacing w:line="0" w:lineRule="atLeast"/>
        <w:rPr>
          <w:szCs w:val="21"/>
        </w:rPr>
      </w:pPr>
      <w:r>
        <w:rPr>
          <w:szCs w:val="21"/>
        </w:rPr>
        <w:t>[成份]</w:t>
      </w:r>
    </w:p>
    <w:p w14:paraId="0CEB47C4">
      <w:pPr>
        <w:spacing w:line="280" w:lineRule="exact"/>
        <w:rPr>
          <w:szCs w:val="21"/>
        </w:rPr>
      </w:pPr>
      <w:r>
        <w:rPr>
          <w:szCs w:val="21"/>
        </w:rPr>
        <w:t>[性状]</w:t>
      </w:r>
    </w:p>
    <w:p w14:paraId="41D9BC89">
      <w:pPr>
        <w:spacing w:line="280" w:lineRule="exact"/>
        <w:rPr>
          <w:szCs w:val="21"/>
        </w:rPr>
      </w:pPr>
      <w:r>
        <w:rPr>
          <w:szCs w:val="21"/>
        </w:rPr>
        <w:t>[功能主治]</w:t>
      </w:r>
      <w:r>
        <w:t xml:space="preserve"> </w:t>
      </w:r>
      <w:r>
        <w:rPr>
          <w:rFonts w:hint="eastAsia"/>
          <w:szCs w:val="21"/>
        </w:rPr>
        <w:t>活血化瘀，舒筋通络，消肿止痛。用于跌打损伤，扭挫伤等软组织损伤。</w:t>
      </w:r>
    </w:p>
    <w:p w14:paraId="260950B4">
      <w:pPr>
        <w:spacing w:line="280" w:lineRule="exact"/>
        <w:rPr>
          <w:szCs w:val="21"/>
        </w:rPr>
      </w:pPr>
      <w:r>
        <w:rPr>
          <w:szCs w:val="21"/>
        </w:rPr>
        <w:t>[规格]</w:t>
      </w:r>
      <w:r>
        <w:rPr>
          <w:rFonts w:hint="eastAsia"/>
          <w:szCs w:val="21"/>
        </w:rPr>
        <w:t>7厘米×10厘米</w:t>
      </w:r>
    </w:p>
    <w:p w14:paraId="26C8A3A5">
      <w:pPr>
        <w:spacing w:line="280" w:lineRule="exact"/>
        <w:rPr>
          <w:szCs w:val="21"/>
        </w:rPr>
      </w:pPr>
      <w:r>
        <w:rPr>
          <w:szCs w:val="21"/>
        </w:rPr>
        <w:t>[用法用量]</w:t>
      </w:r>
      <w:r>
        <w:t xml:space="preserve"> </w:t>
      </w:r>
      <w:r>
        <w:rPr>
          <w:rFonts w:hint="eastAsia"/>
        </w:rPr>
        <w:t>外用。贴患处，2~3天更换一次。</w:t>
      </w:r>
    </w:p>
    <w:p w14:paraId="5A2CAB8F">
      <w:pPr>
        <w:spacing w:line="280" w:lineRule="exact"/>
        <w:rPr>
          <w:szCs w:val="21"/>
        </w:rPr>
      </w:pPr>
      <w:r>
        <w:rPr>
          <w:szCs w:val="21"/>
        </w:rPr>
        <w:t xml:space="preserve">[不良反应] </w:t>
      </w:r>
      <w:r>
        <w:rPr>
          <w:rFonts w:hint="eastAsia"/>
          <w:szCs w:val="21"/>
        </w:rPr>
        <w:t>监测数据显示，本品可见以下不良反应报告：用药部位皮疹、瘙痒、潮红、肿痛、发热、裂口、水疱等皮肤过敏反应等。</w:t>
      </w:r>
    </w:p>
    <w:p w14:paraId="2ACA8EDB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[禁忌]</w:t>
      </w:r>
    </w:p>
    <w:p w14:paraId="65F7D984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1.孕妇禁用。</w:t>
      </w:r>
    </w:p>
    <w:p w14:paraId="6E674176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2.婴幼儿禁用。</w:t>
      </w:r>
    </w:p>
    <w:p w14:paraId="641787F8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3.皮肤破溃、皮损或感染处禁用。</w:t>
      </w:r>
    </w:p>
    <w:p w14:paraId="31A6B56B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4.对橡胶膏过敏者禁用。</w:t>
      </w:r>
    </w:p>
    <w:p w14:paraId="2B2033D3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5.对本品及所含成份过敏者禁用。</w:t>
      </w:r>
    </w:p>
    <w:p w14:paraId="52EB23BA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[注意事项]</w:t>
      </w:r>
    </w:p>
    <w:p w14:paraId="5FFA0CF7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1.本品为外用药。</w:t>
      </w:r>
    </w:p>
    <w:p w14:paraId="49572FC7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2.切勿接触眼睛、口腔等黏膜处，使用后即洗手。</w:t>
      </w:r>
    </w:p>
    <w:p w14:paraId="45021B36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3.经期及哺乳期妇女慎用。</w:t>
      </w:r>
    </w:p>
    <w:p w14:paraId="7560190B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4.骨折患者应</w:t>
      </w:r>
      <w:r>
        <w:rPr>
          <w:rFonts w:hint="eastAsia"/>
          <w:b/>
          <w:bCs/>
          <w:szCs w:val="21"/>
          <w:lang w:eastAsia="zh-CN"/>
        </w:rPr>
        <w:t>当</w:t>
      </w:r>
      <w:r>
        <w:rPr>
          <w:rFonts w:hint="eastAsia"/>
          <w:b/>
          <w:bCs/>
          <w:szCs w:val="21"/>
        </w:rPr>
        <w:t>去医院就诊。</w:t>
      </w:r>
    </w:p>
    <w:p w14:paraId="769367BC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5.儿童、老年患者应</w:t>
      </w:r>
      <w:r>
        <w:rPr>
          <w:rFonts w:hint="eastAsia"/>
          <w:b/>
          <w:bCs/>
          <w:szCs w:val="21"/>
          <w:lang w:eastAsia="zh-CN"/>
        </w:rPr>
        <w:t>当</w:t>
      </w:r>
      <w:r>
        <w:rPr>
          <w:rFonts w:hint="eastAsia"/>
          <w:b/>
          <w:bCs/>
          <w:szCs w:val="21"/>
        </w:rPr>
        <w:t>在医师指导下使用。</w:t>
      </w:r>
    </w:p>
    <w:p w14:paraId="29F532C8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6.有出血倾向者慎用。</w:t>
      </w:r>
    </w:p>
    <w:p w14:paraId="60340CE6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7.糖尿病严重者慎用，以防止使用不当引起皮肤损伤。</w:t>
      </w:r>
    </w:p>
    <w:p w14:paraId="40BDF30A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8.本品含有天南星，不宜长期或</w:t>
      </w:r>
      <w:r>
        <w:rPr>
          <w:rFonts w:hint="eastAsia"/>
          <w:b/>
          <w:bCs/>
          <w:szCs w:val="21"/>
          <w:lang w:eastAsia="zh-CN"/>
        </w:rPr>
        <w:t>者</w:t>
      </w:r>
      <w:r>
        <w:rPr>
          <w:rFonts w:hint="eastAsia"/>
          <w:b/>
          <w:bCs/>
          <w:szCs w:val="21"/>
        </w:rPr>
        <w:t>大面积使用。自行用药宜在7天以内，如用药超过7天，应</w:t>
      </w:r>
      <w:r>
        <w:rPr>
          <w:rFonts w:hint="eastAsia"/>
          <w:b/>
          <w:bCs/>
          <w:szCs w:val="21"/>
          <w:lang w:eastAsia="zh-CN"/>
        </w:rPr>
        <w:t>当</w:t>
      </w:r>
      <w:r>
        <w:rPr>
          <w:rFonts w:hint="eastAsia"/>
          <w:b/>
          <w:bCs/>
          <w:szCs w:val="21"/>
        </w:rPr>
        <w:t>向医师咨询。</w:t>
      </w:r>
    </w:p>
    <w:p w14:paraId="6EED8646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9.使用中如有皮肤瘙痒、变红或</w:t>
      </w:r>
      <w:r>
        <w:rPr>
          <w:rFonts w:hint="eastAsia"/>
          <w:b/>
          <w:bCs/>
          <w:szCs w:val="21"/>
          <w:lang w:eastAsia="zh-CN"/>
        </w:rPr>
        <w:t>者</w:t>
      </w:r>
      <w:r>
        <w:rPr>
          <w:rFonts w:hint="eastAsia"/>
          <w:b/>
          <w:bCs/>
          <w:szCs w:val="21"/>
        </w:rPr>
        <w:t>其他不适等过敏现象时，应</w:t>
      </w:r>
      <w:r>
        <w:rPr>
          <w:rFonts w:hint="eastAsia"/>
          <w:b/>
          <w:bCs/>
          <w:szCs w:val="21"/>
          <w:lang w:eastAsia="zh-CN"/>
        </w:rPr>
        <w:t>当</w:t>
      </w:r>
      <w:r>
        <w:rPr>
          <w:rFonts w:hint="eastAsia"/>
          <w:b/>
          <w:bCs/>
          <w:szCs w:val="21"/>
        </w:rPr>
        <w:t>立即取下，并及时去医院就诊。</w:t>
      </w:r>
    </w:p>
    <w:p w14:paraId="7ABD382B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10.本品含水杨酸甲酯，外用亦可经皮肤吸收到血液，对于服用华法林药物的患者过量使用该药，存在可能引起出血的风险。</w:t>
      </w:r>
    </w:p>
    <w:p w14:paraId="3F5C2172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11.患有感冒、水痘或</w:t>
      </w:r>
      <w:r>
        <w:rPr>
          <w:rFonts w:hint="eastAsia"/>
          <w:b/>
          <w:bCs/>
          <w:szCs w:val="21"/>
          <w:lang w:eastAsia="zh-CN"/>
        </w:rPr>
        <w:t>者</w:t>
      </w:r>
      <w:r>
        <w:rPr>
          <w:rFonts w:hint="eastAsia"/>
          <w:b/>
          <w:bCs/>
          <w:szCs w:val="21"/>
        </w:rPr>
        <w:t>发热病的儿童应</w:t>
      </w:r>
      <w:r>
        <w:rPr>
          <w:rFonts w:hint="eastAsia"/>
          <w:b/>
          <w:bCs/>
          <w:szCs w:val="21"/>
          <w:lang w:eastAsia="zh-CN"/>
        </w:rPr>
        <w:t>当</w:t>
      </w:r>
      <w:r>
        <w:rPr>
          <w:rFonts w:hint="eastAsia"/>
          <w:b/>
          <w:bCs/>
          <w:szCs w:val="21"/>
        </w:rPr>
        <w:t>避免使用含有水杨酸甲酯的产品。</w:t>
      </w:r>
    </w:p>
    <w:p w14:paraId="092A8E6D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12.遗传性葡萄糖-6-磷酸脱氢酶缺乏症患者、对水杨酸类药物过敏者慎用。</w:t>
      </w:r>
    </w:p>
    <w:p w14:paraId="5029C40C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13.用药3天症状无缓解，应</w:t>
      </w:r>
      <w:r>
        <w:rPr>
          <w:rFonts w:hint="eastAsia"/>
          <w:b/>
          <w:bCs/>
          <w:szCs w:val="21"/>
          <w:lang w:eastAsia="zh-CN"/>
        </w:rPr>
        <w:t>当</w:t>
      </w:r>
      <w:r>
        <w:rPr>
          <w:rFonts w:hint="eastAsia"/>
          <w:b/>
          <w:bCs/>
          <w:szCs w:val="21"/>
        </w:rPr>
        <w:t>去医院就诊。</w:t>
      </w:r>
    </w:p>
    <w:p w14:paraId="01195564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14.过敏体质者慎用。</w:t>
      </w:r>
    </w:p>
    <w:p w14:paraId="73078DEB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15.本品性状发生改变时禁止使用。</w:t>
      </w:r>
    </w:p>
    <w:p w14:paraId="74451DD4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16.儿童必须在成人监护下使用。</w:t>
      </w:r>
    </w:p>
    <w:p w14:paraId="2CE3D2DD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17.请将本品放在儿童不能接触的地方。</w:t>
      </w:r>
    </w:p>
    <w:p w14:paraId="20CF4B3F"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18.如正在使用其他药品，使用本品前请咨询医师或</w:t>
      </w:r>
      <w:r>
        <w:rPr>
          <w:rFonts w:hint="eastAsia"/>
          <w:b/>
          <w:bCs/>
          <w:szCs w:val="21"/>
          <w:lang w:eastAsia="zh-CN"/>
        </w:rPr>
        <w:t>者</w:t>
      </w:r>
      <w:r>
        <w:rPr>
          <w:rFonts w:hint="eastAsia"/>
          <w:b/>
          <w:bCs/>
          <w:szCs w:val="21"/>
        </w:rPr>
        <w:t>药师。</w:t>
      </w:r>
    </w:p>
    <w:p w14:paraId="10C40B36">
      <w:pPr>
        <w:spacing w:line="0" w:lineRule="atLeast"/>
        <w:rPr>
          <w:szCs w:val="21"/>
        </w:rPr>
      </w:pPr>
      <w:r>
        <w:rPr>
          <w:szCs w:val="21"/>
        </w:rPr>
        <w:t>[药物相互作用]如与其他药物同时使用可能会发生药物相互作用，详情请咨询医师或</w:t>
      </w:r>
      <w:r>
        <w:rPr>
          <w:rFonts w:hint="eastAsia"/>
          <w:szCs w:val="21"/>
        </w:rPr>
        <w:t>者</w:t>
      </w:r>
      <w:r>
        <w:rPr>
          <w:szCs w:val="21"/>
        </w:rPr>
        <w:t>药师。</w:t>
      </w:r>
    </w:p>
    <w:p w14:paraId="3F2CCAC0">
      <w:r>
        <w:t xml:space="preserve">[贮藏] </w:t>
      </w:r>
      <w:r>
        <w:br w:type="textWrapping"/>
      </w:r>
      <w:r>
        <w:t>[包装]</w:t>
      </w:r>
      <w:r>
        <w:br w:type="textWrapping"/>
      </w:r>
      <w:r>
        <w:t>[有效期]</w:t>
      </w:r>
      <w:r>
        <w:br w:type="textWrapping"/>
      </w:r>
      <w:r>
        <w:t>[执行标准]</w:t>
      </w:r>
      <w:r>
        <w:br w:type="textWrapping"/>
      </w:r>
      <w:r>
        <w:t>[批准文号]</w:t>
      </w:r>
      <w:r>
        <w:br w:type="textWrapping"/>
      </w:r>
      <w:r>
        <w:t>[说明书修订日期]</w:t>
      </w:r>
      <w:r>
        <w:br w:type="textWrapping"/>
      </w:r>
      <w:r>
        <w:t>[药品上市许可持有人]</w:t>
      </w:r>
    </w:p>
    <w:p w14:paraId="16EE874D">
      <w:r>
        <w:t xml:space="preserve">名    称： </w:t>
      </w:r>
      <w:r>
        <w:br w:type="textWrapping"/>
      </w:r>
      <w:r>
        <w:t>注册地址：</w:t>
      </w:r>
      <w:r>
        <w:br w:type="textWrapping"/>
      </w:r>
      <w:r>
        <w:t>邮政编码：</w:t>
      </w:r>
      <w:r>
        <w:br w:type="textWrapping"/>
      </w:r>
      <w:r>
        <w:t>电话号码：</w:t>
      </w:r>
      <w:r>
        <w:br w:type="textWrapping"/>
      </w:r>
      <w:r>
        <w:t>传真号码：</w:t>
      </w:r>
      <w:r>
        <w:br w:type="textWrapping"/>
      </w:r>
      <w:r>
        <w:t>网    址：</w:t>
      </w:r>
    </w:p>
    <w:p w14:paraId="130D3532">
      <w:pPr>
        <w:rPr>
          <w:b/>
          <w:bCs/>
        </w:rPr>
      </w:pPr>
      <w:r>
        <w:t>[生产企业]</w:t>
      </w:r>
      <w:r>
        <w:br w:type="textWrapping"/>
      </w:r>
      <w:r>
        <w:t xml:space="preserve">企业名称： </w:t>
      </w:r>
      <w:r>
        <w:br w:type="textWrapping"/>
      </w:r>
      <w:r>
        <w:t>生产地址：</w:t>
      </w:r>
      <w:r>
        <w:br w:type="textWrapping"/>
      </w:r>
      <w:r>
        <w:rPr>
          <w:b/>
          <w:bCs/>
        </w:rPr>
        <w:t>如有问题可与药品上市许可持有人联系</w:t>
      </w:r>
    </w:p>
    <w:p w14:paraId="396D1365">
      <w:pPr>
        <w:rPr>
          <w:b/>
          <w:bCs/>
        </w:rPr>
      </w:pPr>
    </w:p>
    <w:p w14:paraId="26947D7B">
      <w:pPr>
        <w:rPr>
          <w:b/>
          <w:bCs/>
        </w:rPr>
      </w:pPr>
    </w:p>
    <w:p w14:paraId="68B84A11">
      <w:pPr>
        <w:ind w:left="0" w:leftChars="0" w:firstLine="0" w:firstLineChars="0"/>
        <w:rPr>
          <w:rFonts w:hint="eastAsia" w:ascii="仿宋_GB2312" w:hAnsi="华文仿宋" w:eastAsia="宋体"/>
          <w:sz w:val="32"/>
          <w:szCs w:val="32"/>
          <w:lang w:eastAsia="zh-CN"/>
        </w:rPr>
      </w:pPr>
      <w:r>
        <w:rPr>
          <w:rFonts w:hint="eastAsia"/>
        </w:rPr>
        <w:t>（注：本说明书范本原则上不得删减，如原批准说明书的安全性内容较本范本内容更全面或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更严格的，应</w:t>
      </w:r>
      <w:r>
        <w:rPr>
          <w:rFonts w:hint="eastAsia"/>
          <w:lang w:eastAsia="zh-CN"/>
        </w:rPr>
        <w:t>当</w:t>
      </w:r>
      <w:r>
        <w:rPr>
          <w:rFonts w:hint="eastAsia"/>
        </w:rPr>
        <w:t>保留原批准内容。</w:t>
      </w:r>
      <w:r>
        <w:rPr>
          <w:rFonts w:hint="eastAsia"/>
          <w:lang w:eastAsia="zh-CN"/>
        </w:rPr>
        <w:t>）</w:t>
      </w:r>
    </w:p>
    <w:p w14:paraId="133191BD">
      <w:pPr>
        <w:rPr>
          <w:rFonts w:hint="eastAsia" w:ascii="仿宋_GB2312" w:hAnsi="华文仿宋" w:eastAsia="仿宋_GB2312"/>
          <w:sz w:val="32"/>
          <w:szCs w:val="32"/>
        </w:rPr>
      </w:pPr>
    </w:p>
    <w:p w14:paraId="65B5779F">
      <w:pPr>
        <w:rPr>
          <w:rFonts w:hint="eastAsia" w:ascii="仿宋_GB2312" w:hAnsi="华文仿宋" w:eastAsia="仿宋_GB2312"/>
          <w:sz w:val="32"/>
          <w:szCs w:val="32"/>
        </w:rPr>
      </w:pPr>
    </w:p>
    <w:p w14:paraId="4D4CA700">
      <w:pPr>
        <w:rPr>
          <w:rFonts w:hint="eastAsia" w:ascii="仿宋_GB2312" w:hAnsi="华文仿宋" w:eastAsia="仿宋_GB2312"/>
          <w:sz w:val="32"/>
          <w:szCs w:val="32"/>
        </w:rPr>
      </w:pPr>
    </w:p>
    <w:p w14:paraId="78FFD9DF">
      <w:pPr>
        <w:rPr>
          <w:rFonts w:hint="eastAsia" w:ascii="仿宋_GB2312" w:hAnsi="华文仿宋" w:eastAsia="仿宋_GB2312"/>
          <w:sz w:val="32"/>
          <w:szCs w:val="32"/>
        </w:rPr>
      </w:pPr>
    </w:p>
    <w:p w14:paraId="3AF9A4B5">
      <w:pPr>
        <w:rPr>
          <w:rFonts w:hint="eastAsia" w:ascii="仿宋_GB2312" w:hAnsi="华文仿宋" w:eastAsia="仿宋_GB2312"/>
          <w:sz w:val="32"/>
          <w:szCs w:val="32"/>
        </w:rPr>
      </w:pPr>
    </w:p>
    <w:p w14:paraId="57A95015">
      <w:pPr>
        <w:rPr>
          <w:rFonts w:hint="eastAsia" w:ascii="仿宋_GB2312" w:hAnsi="华文仿宋" w:eastAsia="仿宋_GB2312"/>
          <w:sz w:val="32"/>
          <w:szCs w:val="32"/>
        </w:rPr>
      </w:pPr>
    </w:p>
    <w:p w14:paraId="5CA8F1A8">
      <w:pPr>
        <w:rPr>
          <w:rFonts w:hint="eastAsia" w:ascii="仿宋_GB2312" w:hAnsi="华文仿宋" w:eastAsia="仿宋_GB2312"/>
          <w:sz w:val="32"/>
          <w:szCs w:val="32"/>
        </w:rPr>
      </w:pPr>
    </w:p>
    <w:p w14:paraId="28461C6C">
      <w:pPr>
        <w:rPr>
          <w:rFonts w:hint="eastAsia" w:ascii="仿宋_GB2312" w:hAnsi="华文仿宋" w:eastAsia="仿宋_GB2312"/>
          <w:sz w:val="32"/>
          <w:szCs w:val="32"/>
        </w:rPr>
      </w:pPr>
    </w:p>
    <w:p w14:paraId="1B77193C">
      <w:pPr>
        <w:rPr>
          <w:rFonts w:hint="eastAsia" w:ascii="仿宋_GB2312" w:hAnsi="华文仿宋" w:eastAsia="仿宋_GB2312"/>
          <w:sz w:val="32"/>
          <w:szCs w:val="32"/>
        </w:rPr>
      </w:pPr>
    </w:p>
    <w:p w14:paraId="54016C82">
      <w:pPr>
        <w:rPr>
          <w:rFonts w:hint="eastAsia" w:ascii="仿宋_GB2312" w:hAnsi="华文仿宋" w:eastAsia="仿宋_GB2312"/>
          <w:sz w:val="32"/>
          <w:szCs w:val="32"/>
        </w:rPr>
      </w:pPr>
    </w:p>
    <w:p w14:paraId="299F077A"/>
    <w:p w14:paraId="4C60657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FF847F"/>
    <w:rsid w:val="667C7CAE"/>
    <w:rsid w:val="ADFF8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1619</Characters>
  <Lines>0</Lines>
  <Paragraphs>0</Paragraphs>
  <TotalTime>0</TotalTime>
  <ScaleCrop>false</ScaleCrop>
  <LinksUpToDate>false</LinksUpToDate>
  <CharactersWithSpaces>1643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2025-06-24T18:01:00Z</dcterms:created>
  <dc:creator>niucj</dc:creator>
  <cp:lastModifiedBy>糖糖</cp:lastModifiedBy>
  <dcterms:modified xsi:type="dcterms:W3CDTF">2025-06-25T07:57:50Z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D42D45B93FFF44FBB4272B339D5A1A48_13</vt:lpwstr>
  </property>
</Properties>
</file>