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经营者集中简易案件公示表</w:t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</w:p>
    <w:tbl>
      <w:tblPr>
        <w:tblStyle w:val="7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30"/>
        <w:gridCol w:w="5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案件名称</w:t>
            </w: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奇瑞汽车股份有限公司与苏州苏常智行科技合伙企业（有限合伙）新设合营企业案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683" w:type="dxa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交易概况（限200字内）</w:t>
            </w: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奇瑞汽车股份有限公司（以下称“奇瑞股份”）与苏州苏常智行科技合伙企业（有限合伙）（以下称“苏常智行”）拟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新设</w:t>
            </w:r>
            <w:r>
              <w:rPr>
                <w:rFonts w:hint="eastAsia"/>
                <w:sz w:val="24"/>
                <w:szCs w:val="24"/>
              </w:rPr>
              <w:t>有限合伙企业形式的合营企业（以下称“合营企业”）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合营企业拟从事新能源乘用车车型、技术的授权许可业务。交易后，</w:t>
            </w:r>
            <w:r>
              <w:rPr>
                <w:rFonts w:hint="eastAsia"/>
                <w:sz w:val="24"/>
                <w:szCs w:val="24"/>
              </w:rPr>
              <w:t>奇瑞股份、苏常智行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分别作为普通合伙人、有限合伙人，持有合伙企业25%、75%财产份额，</w:t>
            </w:r>
            <w:r>
              <w:rPr>
                <w:rFonts w:hint="eastAsia"/>
                <w:sz w:val="24"/>
                <w:szCs w:val="24"/>
              </w:rPr>
              <w:t>共同控制合营企业。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683" w:type="dxa"/>
            <w:vMerge w:val="restart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参与集中的经营者简介</w:t>
            </w:r>
          </w:p>
        </w:tc>
        <w:tc>
          <w:tcPr>
            <w:tcW w:w="143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1、奇瑞股份</w:t>
            </w:r>
          </w:p>
        </w:tc>
        <w:tc>
          <w:tcPr>
            <w:tcW w:w="564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奇瑞</w:t>
            </w:r>
            <w:r>
              <w:rPr>
                <w:rFonts w:hint="eastAsia"/>
                <w:sz w:val="24"/>
                <w:szCs w:val="24"/>
              </w:rPr>
              <w:t>股份</w:t>
            </w:r>
            <w:r>
              <w:rPr>
                <w:sz w:val="24"/>
                <w:szCs w:val="24"/>
              </w:rPr>
              <w:t>于</w:t>
            </w:r>
            <w:r>
              <w:rPr>
                <w:rFonts w:hint="eastAsia"/>
                <w:sz w:val="24"/>
                <w:szCs w:val="24"/>
              </w:rPr>
              <w:t>1997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日成立于中国安徽省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芜湖市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主要从事</w:t>
            </w:r>
            <w:r>
              <w:rPr>
                <w:rFonts w:hint="eastAsia"/>
                <w:sz w:val="24"/>
                <w:szCs w:val="24"/>
              </w:rPr>
              <w:t>汽车及汽车零部件的生产销售业务。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奇瑞股份的最终控制人为奇瑞控股集团有限公司，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主要从事</w:t>
            </w:r>
            <w:r>
              <w:rPr>
                <w:rFonts w:hint="eastAsia"/>
                <w:sz w:val="24"/>
                <w:szCs w:val="24"/>
              </w:rPr>
              <w:t>汽车、汽车零部件生产与销售、房地产、金融投资、服务贸易业务和其他业务。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83" w:type="dxa"/>
            <w:vMerge w:val="continue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苏常智行</w:t>
            </w:r>
          </w:p>
        </w:tc>
        <w:tc>
          <w:tcPr>
            <w:tcW w:w="564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苏常智行</w:t>
            </w:r>
            <w:r>
              <w:rPr>
                <w:sz w:val="24"/>
                <w:szCs w:val="24"/>
              </w:rPr>
              <w:t>于</w:t>
            </w: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1月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日成立于中国</w:t>
            </w:r>
            <w:r>
              <w:rPr>
                <w:rFonts w:hint="eastAsia"/>
                <w:sz w:val="24"/>
                <w:szCs w:val="24"/>
              </w:rPr>
              <w:t>江苏</w:t>
            </w:r>
            <w:r>
              <w:rPr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苏州市</w:t>
            </w:r>
            <w:r>
              <w:rPr>
                <w:rFonts w:hint="eastAsia"/>
                <w:sz w:val="24"/>
                <w:szCs w:val="24"/>
              </w:rPr>
              <w:t>，苏常智行尚未开展业务。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苏常智行的最终控制人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/>
                <w:sz w:val="24"/>
                <w:szCs w:val="24"/>
              </w:rPr>
              <w:t>常熟经开控股有限公司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主要从事</w:t>
            </w:r>
            <w:r>
              <w:rPr>
                <w:rFonts w:hint="eastAsia"/>
                <w:sz w:val="24"/>
                <w:szCs w:val="24"/>
              </w:rPr>
              <w:t>片区开发、载体建设、产业投资、金融业务、港口经营、产城服务等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83" w:type="dxa"/>
            <w:vMerge w:val="restart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>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83" w:type="dxa"/>
            <w:vMerge w:val="continue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sz w:val="24"/>
                <w:szCs w:val="24"/>
              </w:rPr>
              <w:t>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3" w:type="dxa"/>
            <w:vMerge w:val="continue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83" w:type="dxa"/>
            <w:vMerge w:val="continue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83" w:type="dxa"/>
            <w:vMerge w:val="continue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83" w:type="dxa"/>
            <w:vMerge w:val="continue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683" w:type="dxa"/>
            <w:shd w:val="clear" w:color="auto" w:fill="D9D9D9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7075" w:type="dxa"/>
            <w:gridSpan w:val="2"/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纵向关联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4"/>
              <w:gridCol w:w="1646"/>
              <w:gridCol w:w="271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4" w:type="dxa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相关商品市场</w:t>
                  </w:r>
                </w:p>
              </w:tc>
              <w:tc>
                <w:tcPr>
                  <w:tcW w:w="1646" w:type="dxa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相关地域市场</w:t>
                  </w:r>
                </w:p>
              </w:tc>
              <w:tc>
                <w:tcPr>
                  <w:tcW w:w="2713" w:type="dxa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市场份额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4" w:type="dxa"/>
                </w:tcPr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上游：</w:t>
                  </w:r>
                  <w:r>
                    <w:rPr>
                      <w:rFonts w:hint="eastAsia"/>
                      <w:sz w:val="24"/>
                      <w:szCs w:val="24"/>
                    </w:rPr>
                    <w:t>乘用车底盘金属结构件</w:t>
                  </w:r>
                  <w:r>
                    <w:rPr>
                      <w:sz w:val="24"/>
                      <w:szCs w:val="24"/>
                    </w:rPr>
                    <w:t>市场</w:t>
                  </w:r>
                </w:p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下游：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新能源</w:t>
                  </w:r>
                  <w:r>
                    <w:rPr>
                      <w:sz w:val="24"/>
                      <w:szCs w:val="24"/>
                    </w:rPr>
                    <w:t>乘用车市场</w:t>
                  </w:r>
                </w:p>
              </w:tc>
              <w:tc>
                <w:tcPr>
                  <w:tcW w:w="1646" w:type="dxa"/>
                </w:tcPr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上游：中国境内</w:t>
                  </w:r>
                </w:p>
                <w:p>
                  <w:pPr>
                    <w:snapToGrid w:val="0"/>
                    <w:spacing w:line="360" w:lineRule="auto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sz w:val="24"/>
                      <w:szCs w:val="24"/>
                    </w:rPr>
                    <w:t>下游：中国境内</w:t>
                  </w:r>
                </w:p>
              </w:tc>
              <w:tc>
                <w:tcPr>
                  <w:tcW w:w="2713" w:type="dxa"/>
                </w:tcPr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上游：2023年中国境内</w:t>
                  </w:r>
                  <w:r>
                    <w:rPr>
                      <w:rFonts w:hint="eastAsia"/>
                      <w:sz w:val="24"/>
                      <w:szCs w:val="24"/>
                    </w:rPr>
                    <w:t>乘用车底盘金属结构件</w:t>
                  </w:r>
                  <w:r>
                    <w:rPr>
                      <w:sz w:val="24"/>
                      <w:szCs w:val="24"/>
                    </w:rPr>
                    <w:t>市场：</w:t>
                  </w:r>
                </w:p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奇瑞股份：0-5%</w:t>
                  </w:r>
                </w:p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下游：2023年中国境内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新能源</w:t>
                  </w:r>
                  <w:r>
                    <w:rPr>
                      <w:sz w:val="24"/>
                      <w:szCs w:val="24"/>
                    </w:rPr>
                    <w:t>乘用车市场：</w:t>
                  </w:r>
                </w:p>
                <w:p>
                  <w:pPr>
                    <w:snapToGrid w:val="0"/>
                    <w:spacing w:line="360" w:lineRule="auto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奇瑞股份</w:t>
                  </w:r>
                  <w:r>
                    <w:rPr>
                      <w:rFonts w:hint="eastAsia"/>
                      <w:sz w:val="24"/>
                      <w:szCs w:val="24"/>
                    </w:rPr>
                    <w:t>：0-5</w:t>
                  </w: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4" w:type="dxa"/>
                  <w:vAlign w:val="top"/>
                </w:tcPr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上游：</w:t>
                  </w:r>
                  <w:r>
                    <w:rPr>
                      <w:rFonts w:hint="eastAsia"/>
                      <w:sz w:val="24"/>
                      <w:szCs w:val="24"/>
                    </w:rPr>
                    <w:t>乘用车座椅</w:t>
                  </w:r>
                  <w:r>
                    <w:rPr>
                      <w:sz w:val="24"/>
                      <w:szCs w:val="24"/>
                    </w:rPr>
                    <w:t>市场</w:t>
                  </w:r>
                </w:p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下游：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新能源</w:t>
                  </w:r>
                  <w:r>
                    <w:rPr>
                      <w:sz w:val="24"/>
                      <w:szCs w:val="24"/>
                    </w:rPr>
                    <w:t>乘用车市场</w:t>
                  </w:r>
                </w:p>
              </w:tc>
              <w:tc>
                <w:tcPr>
                  <w:tcW w:w="1646" w:type="dxa"/>
                  <w:vAlign w:val="top"/>
                </w:tcPr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上游：中国境内</w:t>
                  </w:r>
                </w:p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下游：中国境内</w:t>
                  </w:r>
                </w:p>
              </w:tc>
              <w:tc>
                <w:tcPr>
                  <w:tcW w:w="2713" w:type="dxa"/>
                  <w:vAlign w:val="top"/>
                </w:tcPr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上游：2023年中国境内</w:t>
                  </w:r>
                  <w:r>
                    <w:rPr>
                      <w:rFonts w:hint="eastAsia"/>
                      <w:sz w:val="24"/>
                      <w:szCs w:val="24"/>
                    </w:rPr>
                    <w:t>乘用车座椅</w:t>
                  </w:r>
                  <w:r>
                    <w:rPr>
                      <w:sz w:val="24"/>
                      <w:szCs w:val="24"/>
                    </w:rPr>
                    <w:t>市场：</w:t>
                  </w:r>
                </w:p>
                <w:p>
                  <w:pPr>
                    <w:snapToGrid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奇瑞股份：0-5%</w:t>
                  </w:r>
                </w:p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下游：2023年中国境内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新能源</w:t>
                  </w:r>
                  <w:r>
                    <w:rPr>
                      <w:sz w:val="24"/>
                      <w:szCs w:val="24"/>
                    </w:rPr>
                    <w:t>乘用车市场：</w:t>
                  </w:r>
                </w:p>
                <w:p>
                  <w:pPr>
                    <w:snapToGrid w:val="0"/>
                    <w:spacing w:line="360" w:lineRule="auto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奇瑞股份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如上所述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4" w:type="dxa"/>
                </w:tcPr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上游：</w:t>
                  </w:r>
                  <w:r>
                    <w:rPr>
                      <w:rFonts w:hint="eastAsia"/>
                      <w:sz w:val="24"/>
                      <w:szCs w:val="24"/>
                    </w:rPr>
                    <w:t>新能源乘用车用电池包</w:t>
                  </w:r>
                  <w:r>
                    <w:rPr>
                      <w:sz w:val="24"/>
                      <w:szCs w:val="24"/>
                    </w:rPr>
                    <w:t>市场</w:t>
                  </w:r>
                </w:p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下游：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新能源</w:t>
                  </w:r>
                  <w:r>
                    <w:rPr>
                      <w:sz w:val="24"/>
                      <w:szCs w:val="24"/>
                    </w:rPr>
                    <w:t>乘用车市场</w:t>
                  </w:r>
                </w:p>
              </w:tc>
              <w:tc>
                <w:tcPr>
                  <w:tcW w:w="1646" w:type="dxa"/>
                </w:tcPr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上游：中国境内</w:t>
                  </w:r>
                </w:p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下游：中国境内</w:t>
                  </w:r>
                </w:p>
              </w:tc>
              <w:tc>
                <w:tcPr>
                  <w:tcW w:w="2713" w:type="dxa"/>
                </w:tcPr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上游：2023年中国境内</w:t>
                  </w:r>
                  <w:r>
                    <w:rPr>
                      <w:rFonts w:hint="eastAsia"/>
                      <w:sz w:val="24"/>
                      <w:szCs w:val="24"/>
                    </w:rPr>
                    <w:t>新能源乘用车用电池包</w:t>
                  </w:r>
                  <w:r>
                    <w:rPr>
                      <w:sz w:val="24"/>
                      <w:szCs w:val="24"/>
                    </w:rPr>
                    <w:t>市场：</w:t>
                  </w:r>
                </w:p>
                <w:p>
                  <w:pPr>
                    <w:snapToGrid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奇瑞股份：0-5%</w:t>
                  </w:r>
                </w:p>
                <w:p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下游：2023年中国境内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新能源</w:t>
                  </w:r>
                  <w:r>
                    <w:rPr>
                      <w:sz w:val="24"/>
                      <w:szCs w:val="24"/>
                    </w:rPr>
                    <w:t>乘用车市场：</w:t>
                  </w:r>
                </w:p>
                <w:p>
                  <w:pPr>
                    <w:snapToGrid w:val="0"/>
                    <w:spacing w:line="36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奇瑞股份</w:t>
                  </w:r>
                  <w:bookmarkStart w:id="0" w:name="_GoBack"/>
                  <w:bookmarkEnd w:id="0"/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如上所述</w:t>
                  </w:r>
                </w:p>
              </w:tc>
            </w:tr>
          </w:tbl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QwNjNhMWE2ZjQ1NGMwZDk0OTMyNzczNmNkMTZlZDQifQ=="/>
    <w:docVar w:name="KSO_WPS_MARK_KEY" w:val="9038a897-ca3b-4b72-b59a-40db07644776"/>
  </w:docVars>
  <w:rsids>
    <w:rsidRoot w:val="00094095"/>
    <w:rsid w:val="00000A45"/>
    <w:rsid w:val="000144AF"/>
    <w:rsid w:val="00035AFE"/>
    <w:rsid w:val="00045197"/>
    <w:rsid w:val="00046090"/>
    <w:rsid w:val="00055FE5"/>
    <w:rsid w:val="00094095"/>
    <w:rsid w:val="00097D9D"/>
    <w:rsid w:val="000A2E32"/>
    <w:rsid w:val="000B06AF"/>
    <w:rsid w:val="000B5625"/>
    <w:rsid w:val="000C569B"/>
    <w:rsid w:val="000D26DF"/>
    <w:rsid w:val="000D4D6D"/>
    <w:rsid w:val="000E7ABB"/>
    <w:rsid w:val="00105003"/>
    <w:rsid w:val="00123F96"/>
    <w:rsid w:val="00130233"/>
    <w:rsid w:val="00164256"/>
    <w:rsid w:val="001778CC"/>
    <w:rsid w:val="00183679"/>
    <w:rsid w:val="001A622F"/>
    <w:rsid w:val="001C7239"/>
    <w:rsid w:val="001D6CDE"/>
    <w:rsid w:val="001E3E93"/>
    <w:rsid w:val="0021113B"/>
    <w:rsid w:val="00245776"/>
    <w:rsid w:val="002508F3"/>
    <w:rsid w:val="00262690"/>
    <w:rsid w:val="00264574"/>
    <w:rsid w:val="00275312"/>
    <w:rsid w:val="002A4460"/>
    <w:rsid w:val="002A45E2"/>
    <w:rsid w:val="002C19F0"/>
    <w:rsid w:val="002C64C3"/>
    <w:rsid w:val="002C7656"/>
    <w:rsid w:val="002E3385"/>
    <w:rsid w:val="002F2D60"/>
    <w:rsid w:val="002F335B"/>
    <w:rsid w:val="00307976"/>
    <w:rsid w:val="0032349F"/>
    <w:rsid w:val="00333660"/>
    <w:rsid w:val="00386CF1"/>
    <w:rsid w:val="00390015"/>
    <w:rsid w:val="00391546"/>
    <w:rsid w:val="00396AE7"/>
    <w:rsid w:val="003D7455"/>
    <w:rsid w:val="003E79EC"/>
    <w:rsid w:val="004456EC"/>
    <w:rsid w:val="004506FA"/>
    <w:rsid w:val="0046029B"/>
    <w:rsid w:val="00462174"/>
    <w:rsid w:val="00473E49"/>
    <w:rsid w:val="00474749"/>
    <w:rsid w:val="004B1481"/>
    <w:rsid w:val="004D48EC"/>
    <w:rsid w:val="004E4274"/>
    <w:rsid w:val="004E5555"/>
    <w:rsid w:val="004E7257"/>
    <w:rsid w:val="005100C7"/>
    <w:rsid w:val="0051185A"/>
    <w:rsid w:val="0052034C"/>
    <w:rsid w:val="00522F9B"/>
    <w:rsid w:val="005605C1"/>
    <w:rsid w:val="00585D93"/>
    <w:rsid w:val="005A0339"/>
    <w:rsid w:val="005A051D"/>
    <w:rsid w:val="005C590C"/>
    <w:rsid w:val="005F167B"/>
    <w:rsid w:val="006327F1"/>
    <w:rsid w:val="006652F3"/>
    <w:rsid w:val="00667E69"/>
    <w:rsid w:val="00677E3A"/>
    <w:rsid w:val="00677ED4"/>
    <w:rsid w:val="00683F50"/>
    <w:rsid w:val="006914EC"/>
    <w:rsid w:val="006A39F1"/>
    <w:rsid w:val="006B2E6C"/>
    <w:rsid w:val="006D3D5B"/>
    <w:rsid w:val="006F5E73"/>
    <w:rsid w:val="00712E8F"/>
    <w:rsid w:val="00727E30"/>
    <w:rsid w:val="00731DD4"/>
    <w:rsid w:val="0074209E"/>
    <w:rsid w:val="007435D0"/>
    <w:rsid w:val="007631EF"/>
    <w:rsid w:val="00780A9E"/>
    <w:rsid w:val="007A1F10"/>
    <w:rsid w:val="007C2F08"/>
    <w:rsid w:val="007C3068"/>
    <w:rsid w:val="007D7501"/>
    <w:rsid w:val="007E2595"/>
    <w:rsid w:val="007E7095"/>
    <w:rsid w:val="007E72E5"/>
    <w:rsid w:val="007E73E2"/>
    <w:rsid w:val="007E7D0C"/>
    <w:rsid w:val="007F13CC"/>
    <w:rsid w:val="007F16FD"/>
    <w:rsid w:val="007F562E"/>
    <w:rsid w:val="007F6247"/>
    <w:rsid w:val="00826E6B"/>
    <w:rsid w:val="00835E18"/>
    <w:rsid w:val="00837DC5"/>
    <w:rsid w:val="00840066"/>
    <w:rsid w:val="008404DF"/>
    <w:rsid w:val="008900EB"/>
    <w:rsid w:val="00897D92"/>
    <w:rsid w:val="008A6E7A"/>
    <w:rsid w:val="008B050D"/>
    <w:rsid w:val="008B6C2F"/>
    <w:rsid w:val="008C5391"/>
    <w:rsid w:val="008D18F0"/>
    <w:rsid w:val="008E469D"/>
    <w:rsid w:val="008F7C10"/>
    <w:rsid w:val="0090114C"/>
    <w:rsid w:val="00904CB7"/>
    <w:rsid w:val="0092503C"/>
    <w:rsid w:val="0094175D"/>
    <w:rsid w:val="00984130"/>
    <w:rsid w:val="00993BF4"/>
    <w:rsid w:val="00996818"/>
    <w:rsid w:val="009B2626"/>
    <w:rsid w:val="009D06A8"/>
    <w:rsid w:val="009D3D2B"/>
    <w:rsid w:val="009E5DA3"/>
    <w:rsid w:val="009F17D6"/>
    <w:rsid w:val="009F7886"/>
    <w:rsid w:val="00A04FED"/>
    <w:rsid w:val="00A230D6"/>
    <w:rsid w:val="00A25966"/>
    <w:rsid w:val="00A40F8F"/>
    <w:rsid w:val="00A520BD"/>
    <w:rsid w:val="00A90A90"/>
    <w:rsid w:val="00A914D9"/>
    <w:rsid w:val="00AB0806"/>
    <w:rsid w:val="00AB42FC"/>
    <w:rsid w:val="00AD65E4"/>
    <w:rsid w:val="00AF458F"/>
    <w:rsid w:val="00B163FA"/>
    <w:rsid w:val="00B20089"/>
    <w:rsid w:val="00B2283E"/>
    <w:rsid w:val="00B23CC2"/>
    <w:rsid w:val="00B371EE"/>
    <w:rsid w:val="00B43294"/>
    <w:rsid w:val="00B521E3"/>
    <w:rsid w:val="00B54BDA"/>
    <w:rsid w:val="00B616E1"/>
    <w:rsid w:val="00B90473"/>
    <w:rsid w:val="00BA0750"/>
    <w:rsid w:val="00BB1D01"/>
    <w:rsid w:val="00BB2377"/>
    <w:rsid w:val="00BE3DCD"/>
    <w:rsid w:val="00C04F5A"/>
    <w:rsid w:val="00C27460"/>
    <w:rsid w:val="00C45C3B"/>
    <w:rsid w:val="00C54EF0"/>
    <w:rsid w:val="00C574ED"/>
    <w:rsid w:val="00C77B54"/>
    <w:rsid w:val="00C81BB0"/>
    <w:rsid w:val="00C84E29"/>
    <w:rsid w:val="00C9068E"/>
    <w:rsid w:val="00C93C0C"/>
    <w:rsid w:val="00C96ECA"/>
    <w:rsid w:val="00CB028D"/>
    <w:rsid w:val="00CB3BDA"/>
    <w:rsid w:val="00CB57E1"/>
    <w:rsid w:val="00CB5AF7"/>
    <w:rsid w:val="00CC6142"/>
    <w:rsid w:val="00CC6AB4"/>
    <w:rsid w:val="00CC7F54"/>
    <w:rsid w:val="00CD13A7"/>
    <w:rsid w:val="00CD4CF5"/>
    <w:rsid w:val="00CE2824"/>
    <w:rsid w:val="00CF4448"/>
    <w:rsid w:val="00D00891"/>
    <w:rsid w:val="00D05416"/>
    <w:rsid w:val="00D102B0"/>
    <w:rsid w:val="00D1202E"/>
    <w:rsid w:val="00D13FDA"/>
    <w:rsid w:val="00D21777"/>
    <w:rsid w:val="00D3751C"/>
    <w:rsid w:val="00D45456"/>
    <w:rsid w:val="00D72EA9"/>
    <w:rsid w:val="00D763AF"/>
    <w:rsid w:val="00DA58DC"/>
    <w:rsid w:val="00DB266E"/>
    <w:rsid w:val="00DC279E"/>
    <w:rsid w:val="00DC6F93"/>
    <w:rsid w:val="00DD502B"/>
    <w:rsid w:val="00DD6E73"/>
    <w:rsid w:val="00DF0023"/>
    <w:rsid w:val="00E03501"/>
    <w:rsid w:val="00E265D2"/>
    <w:rsid w:val="00E30E76"/>
    <w:rsid w:val="00E36319"/>
    <w:rsid w:val="00E53D38"/>
    <w:rsid w:val="00E569CB"/>
    <w:rsid w:val="00E66A48"/>
    <w:rsid w:val="00E7483D"/>
    <w:rsid w:val="00E80ACD"/>
    <w:rsid w:val="00E874E1"/>
    <w:rsid w:val="00E9512B"/>
    <w:rsid w:val="00EB587E"/>
    <w:rsid w:val="00EC0323"/>
    <w:rsid w:val="00ED21B1"/>
    <w:rsid w:val="00EE29F1"/>
    <w:rsid w:val="00F02194"/>
    <w:rsid w:val="00F1795C"/>
    <w:rsid w:val="00F2189E"/>
    <w:rsid w:val="00F55020"/>
    <w:rsid w:val="00F66DCF"/>
    <w:rsid w:val="00F77878"/>
    <w:rsid w:val="00F87C1F"/>
    <w:rsid w:val="00F96FDE"/>
    <w:rsid w:val="00FB0842"/>
    <w:rsid w:val="00FC01FE"/>
    <w:rsid w:val="00FC1ECC"/>
    <w:rsid w:val="00FC43CC"/>
    <w:rsid w:val="00FC45D5"/>
    <w:rsid w:val="00FD0407"/>
    <w:rsid w:val="00FE6606"/>
    <w:rsid w:val="00FF42CF"/>
    <w:rsid w:val="058E5C26"/>
    <w:rsid w:val="05A86320"/>
    <w:rsid w:val="05F77A12"/>
    <w:rsid w:val="06A35E92"/>
    <w:rsid w:val="087C3466"/>
    <w:rsid w:val="09702289"/>
    <w:rsid w:val="098B441E"/>
    <w:rsid w:val="099621FA"/>
    <w:rsid w:val="0AF50259"/>
    <w:rsid w:val="0B392FD5"/>
    <w:rsid w:val="0D1129FD"/>
    <w:rsid w:val="0E9B12F6"/>
    <w:rsid w:val="10721B63"/>
    <w:rsid w:val="12022A2E"/>
    <w:rsid w:val="12326EB4"/>
    <w:rsid w:val="13925C08"/>
    <w:rsid w:val="14603C13"/>
    <w:rsid w:val="146A2B1E"/>
    <w:rsid w:val="16CC1AF2"/>
    <w:rsid w:val="17AB4CAB"/>
    <w:rsid w:val="17FB7A88"/>
    <w:rsid w:val="18C13529"/>
    <w:rsid w:val="18E1300A"/>
    <w:rsid w:val="1D000A11"/>
    <w:rsid w:val="1E845A40"/>
    <w:rsid w:val="1FD63258"/>
    <w:rsid w:val="20125FC6"/>
    <w:rsid w:val="211F764D"/>
    <w:rsid w:val="214E201A"/>
    <w:rsid w:val="225320DE"/>
    <w:rsid w:val="23E52EB3"/>
    <w:rsid w:val="24021D03"/>
    <w:rsid w:val="249D12EE"/>
    <w:rsid w:val="24FE5668"/>
    <w:rsid w:val="257252AF"/>
    <w:rsid w:val="265D1B58"/>
    <w:rsid w:val="26663961"/>
    <w:rsid w:val="266C5A4C"/>
    <w:rsid w:val="26BB3134"/>
    <w:rsid w:val="26D6306A"/>
    <w:rsid w:val="27AE6D6E"/>
    <w:rsid w:val="29167809"/>
    <w:rsid w:val="29514455"/>
    <w:rsid w:val="2A716687"/>
    <w:rsid w:val="2E1B3283"/>
    <w:rsid w:val="2F5B6E36"/>
    <w:rsid w:val="30986E0D"/>
    <w:rsid w:val="311B05E1"/>
    <w:rsid w:val="31291F7E"/>
    <w:rsid w:val="318178A1"/>
    <w:rsid w:val="33EA3F1A"/>
    <w:rsid w:val="342618D3"/>
    <w:rsid w:val="351A59B6"/>
    <w:rsid w:val="35276E71"/>
    <w:rsid w:val="35C81F43"/>
    <w:rsid w:val="36511F38"/>
    <w:rsid w:val="36886B6E"/>
    <w:rsid w:val="371616C9"/>
    <w:rsid w:val="37B0593D"/>
    <w:rsid w:val="39C24AED"/>
    <w:rsid w:val="3A106036"/>
    <w:rsid w:val="3A2D21CD"/>
    <w:rsid w:val="3A464B75"/>
    <w:rsid w:val="3C2A5691"/>
    <w:rsid w:val="3D111306"/>
    <w:rsid w:val="3DC84CA5"/>
    <w:rsid w:val="3E3C015C"/>
    <w:rsid w:val="3EB65684"/>
    <w:rsid w:val="408D613D"/>
    <w:rsid w:val="414C1C7A"/>
    <w:rsid w:val="42057ABF"/>
    <w:rsid w:val="43011B6E"/>
    <w:rsid w:val="4320516C"/>
    <w:rsid w:val="44C47D79"/>
    <w:rsid w:val="44E04A90"/>
    <w:rsid w:val="47DF2E42"/>
    <w:rsid w:val="483616EE"/>
    <w:rsid w:val="49753D38"/>
    <w:rsid w:val="4CA12DFC"/>
    <w:rsid w:val="4DDF747C"/>
    <w:rsid w:val="4F5B35BD"/>
    <w:rsid w:val="503475F1"/>
    <w:rsid w:val="51DF3B26"/>
    <w:rsid w:val="52112F3F"/>
    <w:rsid w:val="52D305A5"/>
    <w:rsid w:val="537806AC"/>
    <w:rsid w:val="54117B0C"/>
    <w:rsid w:val="55637382"/>
    <w:rsid w:val="59247F7B"/>
    <w:rsid w:val="597B2C23"/>
    <w:rsid w:val="5A315494"/>
    <w:rsid w:val="5CAC53A8"/>
    <w:rsid w:val="5D1706B9"/>
    <w:rsid w:val="5D573625"/>
    <w:rsid w:val="5E7D1168"/>
    <w:rsid w:val="5EA616E7"/>
    <w:rsid w:val="607C78DF"/>
    <w:rsid w:val="60C16521"/>
    <w:rsid w:val="60C67F74"/>
    <w:rsid w:val="61210B13"/>
    <w:rsid w:val="61806EBB"/>
    <w:rsid w:val="62E95194"/>
    <w:rsid w:val="643C6CB2"/>
    <w:rsid w:val="65DB3FF1"/>
    <w:rsid w:val="67694A84"/>
    <w:rsid w:val="688A6646"/>
    <w:rsid w:val="68F16ADF"/>
    <w:rsid w:val="698A0CE2"/>
    <w:rsid w:val="6A9E229D"/>
    <w:rsid w:val="6B4532F0"/>
    <w:rsid w:val="6CB07BAC"/>
    <w:rsid w:val="6CFC2F58"/>
    <w:rsid w:val="6D5637AC"/>
    <w:rsid w:val="6DBC1950"/>
    <w:rsid w:val="6E9D5A4F"/>
    <w:rsid w:val="6FC83E42"/>
    <w:rsid w:val="727D4A6E"/>
    <w:rsid w:val="737D5C37"/>
    <w:rsid w:val="738C700D"/>
    <w:rsid w:val="73D65ED0"/>
    <w:rsid w:val="750A2CD7"/>
    <w:rsid w:val="758F7E75"/>
    <w:rsid w:val="75937578"/>
    <w:rsid w:val="762409E0"/>
    <w:rsid w:val="775A2C17"/>
    <w:rsid w:val="778E1AA2"/>
    <w:rsid w:val="78040B07"/>
    <w:rsid w:val="791A0D3C"/>
    <w:rsid w:val="7F00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13"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ndnote reference"/>
    <w:unhideWhenUsed/>
    <w:qFormat/>
    <w:uiPriority w:val="99"/>
    <w:rPr>
      <w:vertAlign w:val="superscript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尾注文本 字符"/>
    <w:link w:val="3"/>
    <w:semiHidden/>
    <w:qFormat/>
    <w:uiPriority w:val="99"/>
  </w:style>
  <w:style w:type="character" w:customStyle="1" w:styleId="14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脚 字符"/>
    <w:link w:val="5"/>
    <w:qFormat/>
    <w:uiPriority w:val="99"/>
    <w:rPr>
      <w:sz w:val="18"/>
      <w:szCs w:val="18"/>
    </w:rPr>
  </w:style>
  <w:style w:type="character" w:customStyle="1" w:styleId="16">
    <w:name w:val="页眉 字符"/>
    <w:link w:val="6"/>
    <w:qFormat/>
    <w:uiPriority w:val="99"/>
    <w:rPr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1014</Words>
  <Characters>1075</Characters>
  <Lines>5</Lines>
  <Paragraphs>1</Paragraphs>
  <TotalTime>1</TotalTime>
  <ScaleCrop>false</ScaleCrop>
  <LinksUpToDate>false</LinksUpToDate>
  <CharactersWithSpaces>1075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2024-06-27T03:48:00Z</dcterms:created>
  <dc:creator>admin</dc:creator>
  <cp:lastModifiedBy>admin</cp:lastModifiedBy>
  <cp:lastPrinted>2014-10-08T02:48:00Z</cp:lastPrinted>
  <dcterms:modified xsi:type="dcterms:W3CDTF">2024-12-20T02:13:17Z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5FD29769B59347B489E472AEEF92C3C5</vt:lpwstr>
  </property>
</Properties>
</file>