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outlineLvl w:val="0"/>
        <w:rPr>
          <w:rFonts w:ascii="宋体" w:hAnsi="宋体" w:eastAsia="宋体" w:cs="宋体"/>
          <w:b/>
          <w:kern w:val="36"/>
          <w:sz w:val="39"/>
          <w:szCs w:val="39"/>
        </w:rPr>
      </w:pPr>
      <w:r>
        <w:rPr>
          <w:rFonts w:ascii="宋体" w:hAnsi="宋体" w:eastAsia="宋体" w:cs="宋体"/>
          <w:b/>
          <w:kern w:val="36"/>
          <w:sz w:val="39"/>
          <w:szCs w:val="39"/>
        </w:rPr>
        <w:t>广州市市场监督管理局纺织面料产品质量监督抽查实施细则</w:t>
      </w:r>
    </w:p>
    <w:p>
      <w:pPr>
        <w:widowControl/>
        <w:shd w:val="clear" w:color="auto" w:fill="FFFFFF"/>
        <w:jc w:val="center"/>
        <w:outlineLvl w:val="0"/>
        <w:rPr>
          <w:rFonts w:hint="eastAsia" w:ascii="宋体" w:hAnsi="宋体" w:eastAsia="宋体" w:cs="宋体"/>
          <w:b/>
          <w:kern w:val="36"/>
          <w:sz w:val="39"/>
          <w:szCs w:val="39"/>
          <w:lang w:eastAsia="zh-CN"/>
        </w:rPr>
      </w:pPr>
      <w:r>
        <w:rPr>
          <w:rFonts w:hint="eastAsia" w:ascii="宋体" w:hAnsi="宋体" w:eastAsia="宋体" w:cs="宋体"/>
          <w:b/>
          <w:kern w:val="36"/>
          <w:sz w:val="39"/>
          <w:szCs w:val="39"/>
          <w:lang w:eastAsia="zh-CN"/>
        </w:rPr>
        <w:t>（</w:t>
      </w:r>
      <w:r>
        <w:rPr>
          <w:rFonts w:hint="eastAsia" w:ascii="宋体" w:hAnsi="宋体" w:eastAsia="宋体" w:cs="宋体"/>
          <w:b/>
          <w:kern w:val="36"/>
          <w:sz w:val="39"/>
          <w:szCs w:val="39"/>
          <w:lang w:val="en-US" w:eastAsia="zh-CN"/>
        </w:rPr>
        <w:t>2024年4月修订版</w:t>
      </w:r>
      <w:r>
        <w:rPr>
          <w:rFonts w:hint="eastAsia" w:ascii="宋体" w:hAnsi="宋体" w:eastAsia="宋体" w:cs="宋体"/>
          <w:b/>
          <w:kern w:val="36"/>
          <w:sz w:val="39"/>
          <w:szCs w:val="39"/>
          <w:lang w:eastAsia="zh-CN"/>
        </w:rPr>
        <w:t>）</w:t>
      </w:r>
      <w:bookmarkStart w:id="0" w:name="_GoBack"/>
      <w:bookmarkEnd w:id="0"/>
    </w:p>
    <w:p>
      <w:pPr>
        <w:spacing w:line="400" w:lineRule="exact"/>
        <w:jc w:val="center"/>
        <w:rPr>
          <w:rFonts w:ascii="方正小标宋简体" w:hAnsi="Courier New" w:eastAsia="方正小标宋简体" w:cs="Courier New"/>
          <w:bCs/>
          <w:sz w:val="44"/>
          <w:szCs w:val="44"/>
        </w:rPr>
      </w:pPr>
    </w:p>
    <w:p>
      <w:pPr>
        <w:spacing w:line="600" w:lineRule="exact"/>
        <w:ind w:firstLine="482" w:firstLineChars="200"/>
        <w:rPr>
          <w:rFonts w:ascii="宋体" w:hAnsi="宋体" w:eastAsia="宋体"/>
          <w:b/>
          <w:sz w:val="24"/>
        </w:rPr>
      </w:pPr>
      <w:r>
        <w:rPr>
          <w:rFonts w:hint="eastAsia" w:ascii="宋体" w:hAnsi="宋体" w:eastAsia="宋体"/>
          <w:b/>
          <w:sz w:val="24"/>
        </w:rPr>
        <w:t>1</w:t>
      </w:r>
      <w:r>
        <w:rPr>
          <w:rFonts w:ascii="宋体" w:hAnsi="宋体" w:eastAsia="宋体"/>
          <w:b/>
          <w:sz w:val="24"/>
        </w:rPr>
        <w:t>、抽样方法</w:t>
      </w:r>
    </w:p>
    <w:p>
      <w:pPr>
        <w:spacing w:line="360" w:lineRule="auto"/>
        <w:ind w:firstLine="480" w:firstLineChars="200"/>
        <w:rPr>
          <w:rFonts w:ascii="宋体" w:hAnsi="宋体" w:eastAsia="宋体"/>
          <w:kern w:val="0"/>
          <w:sz w:val="24"/>
        </w:rPr>
      </w:pPr>
      <w:r>
        <w:rPr>
          <w:rFonts w:ascii="宋体" w:hAnsi="宋体" w:eastAsia="宋体"/>
          <w:kern w:val="0"/>
          <w:sz w:val="24"/>
        </w:rPr>
        <w:t>以随机抽样的方式在被抽样生产者、销售者的待销产品中抽取。随机数一般可使用随机数表等方法产生。</w:t>
      </w:r>
    </w:p>
    <w:p>
      <w:pPr>
        <w:spacing w:line="360" w:lineRule="auto"/>
        <w:ind w:firstLine="480" w:firstLineChars="200"/>
        <w:rPr>
          <w:rFonts w:ascii="宋体" w:hAnsi="宋体" w:eastAsia="宋体"/>
          <w:sz w:val="24"/>
        </w:rPr>
      </w:pPr>
      <w:r>
        <w:rPr>
          <w:rFonts w:ascii="宋体" w:hAnsi="宋体" w:eastAsia="宋体"/>
          <w:kern w:val="0"/>
          <w:sz w:val="24"/>
        </w:rPr>
        <w:t>每批次产品抽取样品2组，每组样品1米。其中，1组作为检验样品，1组作为备用样品。</w:t>
      </w:r>
    </w:p>
    <w:p>
      <w:pPr>
        <w:spacing w:line="600" w:lineRule="exact"/>
        <w:ind w:firstLine="482" w:firstLineChars="200"/>
        <w:rPr>
          <w:rFonts w:ascii="宋体" w:hAnsi="宋体" w:eastAsia="宋体"/>
          <w:b/>
          <w:sz w:val="24"/>
        </w:rPr>
      </w:pPr>
      <w:r>
        <w:rPr>
          <w:rFonts w:hint="eastAsia" w:ascii="宋体" w:hAnsi="宋体" w:eastAsia="宋体"/>
          <w:b/>
          <w:sz w:val="24"/>
        </w:rPr>
        <w:t>2、检验依据</w:t>
      </w:r>
    </w:p>
    <w:tbl>
      <w:tblPr>
        <w:tblStyle w:val="3"/>
        <w:tblW w:w="84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986"/>
        <w:gridCol w:w="3992"/>
        <w:gridCol w:w="3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67" w:hRule="exact"/>
          <w:tblHeader/>
          <w:jc w:val="center"/>
        </w:trPr>
        <w:tc>
          <w:tcPr>
            <w:tcW w:w="98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60" w:lineRule="exact"/>
              <w:jc w:val="center"/>
              <w:rPr>
                <w:rFonts w:ascii="宋体" w:hAnsi="宋体" w:eastAsia="宋体"/>
                <w:b/>
                <w:bCs/>
                <w:sz w:val="24"/>
              </w:rPr>
            </w:pPr>
            <w:r>
              <w:rPr>
                <w:rFonts w:ascii="宋体" w:hAnsi="宋体" w:eastAsia="宋体"/>
                <w:b/>
                <w:bCs/>
                <w:sz w:val="24"/>
              </w:rPr>
              <w:t>序号</w:t>
            </w:r>
          </w:p>
        </w:tc>
        <w:tc>
          <w:tcPr>
            <w:tcW w:w="3992"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60" w:lineRule="exact"/>
              <w:jc w:val="center"/>
              <w:rPr>
                <w:rFonts w:ascii="宋体" w:hAnsi="宋体" w:eastAsia="宋体"/>
                <w:b/>
                <w:bCs/>
                <w:sz w:val="24"/>
              </w:rPr>
            </w:pPr>
            <w:r>
              <w:rPr>
                <w:rFonts w:ascii="宋体" w:hAnsi="宋体" w:eastAsia="宋体"/>
                <w:b/>
                <w:bCs/>
                <w:sz w:val="24"/>
              </w:rPr>
              <w:t>检验项目</w:t>
            </w:r>
          </w:p>
        </w:tc>
        <w:tc>
          <w:tcPr>
            <w:tcW w:w="3484"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spacing w:line="260" w:lineRule="exact"/>
              <w:jc w:val="center"/>
              <w:rPr>
                <w:rFonts w:ascii="宋体" w:hAnsi="宋体" w:eastAsia="宋体"/>
                <w:b/>
                <w:bCs/>
                <w:sz w:val="24"/>
              </w:rPr>
            </w:pPr>
            <w:r>
              <w:rPr>
                <w:rFonts w:ascii="宋体" w:hAnsi="宋体" w:eastAsia="宋体"/>
                <w:b/>
                <w:bCs/>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67" w:hRule="exact"/>
          <w:jc w:val="center"/>
        </w:trPr>
        <w:tc>
          <w:tcPr>
            <w:tcW w:w="98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widowControl/>
              <w:tabs>
                <w:tab w:val="left" w:pos="310"/>
              </w:tabs>
              <w:spacing w:line="400" w:lineRule="exact"/>
              <w:ind w:firstLine="0" w:firstLineChars="0"/>
              <w:jc w:val="center"/>
              <w:rPr>
                <w:rFonts w:ascii="宋体" w:hAnsi="宋体" w:eastAsia="宋体"/>
                <w:sz w:val="24"/>
              </w:rPr>
            </w:pPr>
            <w:r>
              <w:rPr>
                <w:rFonts w:ascii="宋体" w:hAnsi="宋体" w:eastAsia="宋体"/>
                <w:sz w:val="24"/>
              </w:rPr>
              <w:t>1</w:t>
            </w:r>
          </w:p>
        </w:tc>
        <w:tc>
          <w:tcPr>
            <w:tcW w:w="399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00" w:lineRule="exact"/>
              <w:jc w:val="center"/>
              <w:rPr>
                <w:rFonts w:ascii="宋体" w:hAnsi="宋体" w:eastAsia="宋体"/>
                <w:spacing w:val="-6"/>
                <w:sz w:val="24"/>
              </w:rPr>
            </w:pPr>
            <w:r>
              <w:rPr>
                <w:rFonts w:ascii="宋体" w:hAnsi="宋体" w:eastAsia="宋体"/>
                <w:sz w:val="24"/>
              </w:rPr>
              <w:t>甲醛含量</w:t>
            </w:r>
          </w:p>
        </w:tc>
        <w:tc>
          <w:tcPr>
            <w:tcW w:w="348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00" w:lineRule="exact"/>
              <w:jc w:val="center"/>
              <w:rPr>
                <w:rFonts w:ascii="宋体" w:hAnsi="宋体" w:eastAsia="宋体"/>
                <w:spacing w:val="-6"/>
                <w:sz w:val="24"/>
              </w:rPr>
            </w:pPr>
            <w:r>
              <w:rPr>
                <w:rFonts w:ascii="宋体" w:hAnsi="宋体" w:eastAsia="宋体"/>
                <w:sz w:val="24"/>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67" w:hRule="exact"/>
          <w:jc w:val="center"/>
        </w:trPr>
        <w:tc>
          <w:tcPr>
            <w:tcW w:w="98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widowControl/>
              <w:tabs>
                <w:tab w:val="left" w:pos="310"/>
              </w:tabs>
              <w:spacing w:line="400" w:lineRule="exact"/>
              <w:ind w:firstLine="0" w:firstLineChars="0"/>
              <w:jc w:val="center"/>
              <w:rPr>
                <w:rFonts w:ascii="宋体" w:hAnsi="宋体" w:eastAsia="宋体"/>
                <w:sz w:val="24"/>
              </w:rPr>
            </w:pPr>
            <w:r>
              <w:rPr>
                <w:rFonts w:ascii="宋体" w:hAnsi="宋体" w:eastAsia="宋体"/>
                <w:sz w:val="24"/>
              </w:rPr>
              <w:t>2</w:t>
            </w:r>
          </w:p>
        </w:tc>
        <w:tc>
          <w:tcPr>
            <w:tcW w:w="399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00" w:lineRule="exact"/>
              <w:jc w:val="center"/>
              <w:rPr>
                <w:rFonts w:ascii="宋体" w:hAnsi="宋体" w:eastAsia="宋体"/>
                <w:spacing w:val="-6"/>
                <w:sz w:val="24"/>
              </w:rPr>
            </w:pPr>
            <w:r>
              <w:rPr>
                <w:rFonts w:ascii="宋体" w:hAnsi="宋体" w:eastAsia="宋体"/>
                <w:sz w:val="24"/>
              </w:rPr>
              <w:t>pH值</w:t>
            </w:r>
          </w:p>
        </w:tc>
        <w:tc>
          <w:tcPr>
            <w:tcW w:w="348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00" w:lineRule="exact"/>
              <w:jc w:val="center"/>
              <w:rPr>
                <w:rFonts w:ascii="宋体" w:hAnsi="宋体" w:eastAsia="宋体"/>
                <w:spacing w:val="-6"/>
                <w:sz w:val="24"/>
              </w:rPr>
            </w:pPr>
            <w:r>
              <w:rPr>
                <w:rFonts w:ascii="宋体" w:hAnsi="宋体" w:eastAsia="宋体"/>
                <w:sz w:val="24"/>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965" w:hRule="exact"/>
          <w:jc w:val="center"/>
        </w:trPr>
        <w:tc>
          <w:tcPr>
            <w:tcW w:w="98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widowControl/>
              <w:tabs>
                <w:tab w:val="left" w:pos="310"/>
              </w:tabs>
              <w:spacing w:line="400" w:lineRule="exact"/>
              <w:ind w:firstLine="0" w:firstLineChars="0"/>
              <w:jc w:val="center"/>
              <w:rPr>
                <w:rFonts w:ascii="宋体" w:hAnsi="宋体" w:eastAsia="宋体"/>
                <w:sz w:val="24"/>
              </w:rPr>
            </w:pPr>
            <w:r>
              <w:rPr>
                <w:rFonts w:ascii="宋体" w:hAnsi="宋体" w:eastAsia="宋体"/>
                <w:sz w:val="24"/>
              </w:rPr>
              <w:t>3</w:t>
            </w:r>
          </w:p>
        </w:tc>
        <w:tc>
          <w:tcPr>
            <w:tcW w:w="399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00" w:lineRule="exact"/>
              <w:jc w:val="center"/>
              <w:rPr>
                <w:rFonts w:ascii="宋体" w:hAnsi="宋体" w:eastAsia="宋体"/>
                <w:spacing w:val="-6"/>
                <w:sz w:val="24"/>
              </w:rPr>
            </w:pPr>
            <w:r>
              <w:rPr>
                <w:rFonts w:ascii="宋体" w:hAnsi="宋体" w:eastAsia="宋体"/>
                <w:sz w:val="24"/>
              </w:rPr>
              <w:t>可分解致癌芳香胺染料</w:t>
            </w:r>
          </w:p>
        </w:tc>
        <w:tc>
          <w:tcPr>
            <w:tcW w:w="3484"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400" w:lineRule="exact"/>
              <w:jc w:val="center"/>
              <w:rPr>
                <w:rFonts w:ascii="宋体" w:hAnsi="宋体" w:eastAsia="宋体"/>
                <w:sz w:val="24"/>
              </w:rPr>
            </w:pPr>
            <w:r>
              <w:rPr>
                <w:rFonts w:ascii="宋体" w:hAnsi="宋体" w:eastAsia="宋体"/>
                <w:sz w:val="24"/>
              </w:rPr>
              <w:t>GB/T 17592—2011</w:t>
            </w:r>
          </w:p>
          <w:p>
            <w:pPr>
              <w:spacing w:line="400" w:lineRule="exact"/>
              <w:jc w:val="center"/>
              <w:rPr>
                <w:rFonts w:ascii="宋体" w:hAnsi="宋体" w:eastAsia="宋体"/>
                <w:spacing w:val="-6"/>
                <w:sz w:val="24"/>
              </w:rPr>
            </w:pPr>
            <w:r>
              <w:rPr>
                <w:rFonts w:ascii="宋体" w:hAnsi="宋体" w:eastAsia="宋体"/>
                <w:sz w:val="24"/>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67" w:hRule="exact"/>
          <w:jc w:val="center"/>
        </w:trPr>
        <w:tc>
          <w:tcPr>
            <w:tcW w:w="98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widowControl/>
              <w:tabs>
                <w:tab w:val="left" w:pos="310"/>
              </w:tabs>
              <w:spacing w:line="400" w:lineRule="exact"/>
              <w:ind w:firstLine="0" w:firstLineChars="0"/>
              <w:jc w:val="center"/>
              <w:rPr>
                <w:rFonts w:ascii="宋体" w:hAnsi="宋体" w:eastAsia="宋体"/>
                <w:sz w:val="24"/>
              </w:rPr>
            </w:pPr>
            <w:r>
              <w:rPr>
                <w:rFonts w:ascii="宋体" w:hAnsi="宋体" w:eastAsia="宋体"/>
                <w:sz w:val="24"/>
              </w:rPr>
              <w:t>4</w:t>
            </w:r>
          </w:p>
        </w:tc>
        <w:tc>
          <w:tcPr>
            <w:tcW w:w="399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00" w:lineRule="exact"/>
              <w:jc w:val="center"/>
              <w:rPr>
                <w:rFonts w:ascii="宋体" w:hAnsi="宋体" w:eastAsia="宋体"/>
                <w:spacing w:val="-6"/>
                <w:sz w:val="24"/>
              </w:rPr>
            </w:pPr>
            <w:r>
              <w:rPr>
                <w:rFonts w:ascii="宋体" w:hAnsi="宋体" w:eastAsia="宋体"/>
                <w:sz w:val="24"/>
              </w:rPr>
              <w:t>耐水色牢度</w:t>
            </w:r>
          </w:p>
        </w:tc>
        <w:tc>
          <w:tcPr>
            <w:tcW w:w="348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00" w:lineRule="exact"/>
              <w:jc w:val="center"/>
              <w:rPr>
                <w:rFonts w:ascii="宋体" w:hAnsi="宋体" w:eastAsia="宋体"/>
                <w:spacing w:val="-6"/>
                <w:sz w:val="24"/>
              </w:rPr>
            </w:pPr>
            <w:r>
              <w:rPr>
                <w:rFonts w:ascii="宋体" w:hAnsi="宋体" w:eastAsia="宋体"/>
                <w:sz w:val="24"/>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67" w:hRule="exact"/>
          <w:jc w:val="center"/>
        </w:trPr>
        <w:tc>
          <w:tcPr>
            <w:tcW w:w="98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widowControl/>
              <w:tabs>
                <w:tab w:val="left" w:pos="310"/>
              </w:tabs>
              <w:spacing w:line="400" w:lineRule="exact"/>
              <w:ind w:firstLine="0" w:firstLineChars="0"/>
              <w:jc w:val="center"/>
              <w:rPr>
                <w:rFonts w:ascii="宋体" w:hAnsi="宋体" w:eastAsia="宋体"/>
                <w:sz w:val="24"/>
              </w:rPr>
            </w:pPr>
            <w:r>
              <w:rPr>
                <w:rFonts w:ascii="宋体" w:hAnsi="宋体" w:eastAsia="宋体"/>
                <w:sz w:val="24"/>
              </w:rPr>
              <w:t>5</w:t>
            </w:r>
          </w:p>
        </w:tc>
        <w:tc>
          <w:tcPr>
            <w:tcW w:w="399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00" w:lineRule="exact"/>
              <w:jc w:val="center"/>
              <w:rPr>
                <w:rFonts w:ascii="宋体" w:hAnsi="宋体" w:eastAsia="宋体"/>
                <w:spacing w:val="-6"/>
                <w:sz w:val="24"/>
              </w:rPr>
            </w:pPr>
            <w:r>
              <w:rPr>
                <w:rFonts w:ascii="宋体" w:hAnsi="宋体" w:eastAsia="宋体"/>
                <w:sz w:val="24"/>
              </w:rPr>
              <w:t>耐酸汗渍色牢度</w:t>
            </w:r>
          </w:p>
        </w:tc>
        <w:tc>
          <w:tcPr>
            <w:tcW w:w="348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00" w:lineRule="exact"/>
              <w:jc w:val="center"/>
              <w:rPr>
                <w:rFonts w:ascii="宋体" w:hAnsi="宋体" w:eastAsia="宋体"/>
                <w:spacing w:val="-6"/>
                <w:sz w:val="24"/>
              </w:rPr>
            </w:pPr>
            <w:r>
              <w:rPr>
                <w:rFonts w:ascii="宋体" w:hAnsi="宋体" w:eastAsia="宋体"/>
                <w:sz w:val="24"/>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67" w:hRule="exact"/>
          <w:jc w:val="center"/>
        </w:trPr>
        <w:tc>
          <w:tcPr>
            <w:tcW w:w="98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widowControl/>
              <w:tabs>
                <w:tab w:val="left" w:pos="310"/>
              </w:tabs>
              <w:spacing w:line="400" w:lineRule="exact"/>
              <w:ind w:firstLine="0" w:firstLineChars="0"/>
              <w:jc w:val="center"/>
              <w:rPr>
                <w:rFonts w:ascii="宋体" w:hAnsi="宋体" w:eastAsia="宋体"/>
                <w:sz w:val="24"/>
              </w:rPr>
            </w:pPr>
            <w:r>
              <w:rPr>
                <w:rFonts w:ascii="宋体" w:hAnsi="宋体" w:eastAsia="宋体"/>
                <w:sz w:val="24"/>
              </w:rPr>
              <w:t>6</w:t>
            </w:r>
          </w:p>
        </w:tc>
        <w:tc>
          <w:tcPr>
            <w:tcW w:w="399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00" w:lineRule="exact"/>
              <w:jc w:val="center"/>
              <w:rPr>
                <w:rFonts w:ascii="宋体" w:hAnsi="宋体" w:eastAsia="宋体"/>
                <w:spacing w:val="-6"/>
                <w:sz w:val="24"/>
              </w:rPr>
            </w:pPr>
            <w:r>
              <w:rPr>
                <w:rFonts w:ascii="宋体" w:hAnsi="宋体" w:eastAsia="宋体"/>
                <w:sz w:val="24"/>
              </w:rPr>
              <w:t>耐碱汗渍色牢度</w:t>
            </w:r>
          </w:p>
        </w:tc>
        <w:tc>
          <w:tcPr>
            <w:tcW w:w="348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00" w:lineRule="exact"/>
              <w:jc w:val="center"/>
              <w:rPr>
                <w:rFonts w:ascii="宋体" w:hAnsi="宋体" w:eastAsia="宋体"/>
                <w:spacing w:val="-6"/>
                <w:sz w:val="24"/>
              </w:rPr>
            </w:pPr>
            <w:r>
              <w:rPr>
                <w:rFonts w:ascii="宋体" w:hAnsi="宋体" w:eastAsia="宋体"/>
                <w:sz w:val="24"/>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67" w:hRule="exact"/>
          <w:jc w:val="center"/>
        </w:trPr>
        <w:tc>
          <w:tcPr>
            <w:tcW w:w="98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widowControl/>
              <w:tabs>
                <w:tab w:val="left" w:pos="310"/>
              </w:tabs>
              <w:spacing w:line="400" w:lineRule="exact"/>
              <w:ind w:firstLine="0" w:firstLineChars="0"/>
              <w:jc w:val="center"/>
              <w:rPr>
                <w:rFonts w:ascii="宋体" w:hAnsi="宋体" w:eastAsia="宋体"/>
                <w:sz w:val="24"/>
              </w:rPr>
            </w:pPr>
            <w:r>
              <w:rPr>
                <w:rFonts w:ascii="宋体" w:hAnsi="宋体" w:eastAsia="宋体"/>
                <w:sz w:val="24"/>
              </w:rPr>
              <w:t>7</w:t>
            </w:r>
          </w:p>
        </w:tc>
        <w:tc>
          <w:tcPr>
            <w:tcW w:w="399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00" w:lineRule="exact"/>
              <w:jc w:val="center"/>
              <w:rPr>
                <w:rFonts w:ascii="宋体" w:hAnsi="宋体" w:eastAsia="宋体"/>
                <w:spacing w:val="-6"/>
                <w:sz w:val="24"/>
              </w:rPr>
            </w:pPr>
            <w:r>
              <w:rPr>
                <w:rFonts w:ascii="宋体" w:hAnsi="宋体" w:eastAsia="宋体"/>
                <w:sz w:val="24"/>
              </w:rPr>
              <w:t>耐干摩擦色牢度</w:t>
            </w:r>
          </w:p>
        </w:tc>
        <w:tc>
          <w:tcPr>
            <w:tcW w:w="348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00" w:lineRule="exact"/>
              <w:jc w:val="center"/>
              <w:rPr>
                <w:rFonts w:ascii="宋体" w:hAnsi="宋体" w:eastAsia="宋体"/>
                <w:spacing w:val="-6"/>
                <w:sz w:val="24"/>
              </w:rPr>
            </w:pPr>
            <w:r>
              <w:rPr>
                <w:rFonts w:ascii="宋体" w:hAnsi="宋体" w:eastAsia="宋体"/>
                <w:sz w:val="24"/>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67" w:hRule="exact"/>
          <w:jc w:val="center"/>
        </w:trPr>
        <w:tc>
          <w:tcPr>
            <w:tcW w:w="98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widowControl/>
              <w:tabs>
                <w:tab w:val="left" w:pos="310"/>
              </w:tabs>
              <w:spacing w:line="400" w:lineRule="exact"/>
              <w:ind w:firstLine="0" w:firstLineChars="0"/>
              <w:jc w:val="center"/>
              <w:rPr>
                <w:rFonts w:ascii="宋体" w:hAnsi="宋体" w:eastAsia="宋体"/>
                <w:sz w:val="24"/>
              </w:rPr>
            </w:pPr>
            <w:r>
              <w:rPr>
                <w:rFonts w:ascii="宋体" w:hAnsi="宋体" w:eastAsia="宋体"/>
                <w:sz w:val="24"/>
              </w:rPr>
              <w:t>8</w:t>
            </w:r>
          </w:p>
        </w:tc>
        <w:tc>
          <w:tcPr>
            <w:tcW w:w="399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00" w:lineRule="exact"/>
              <w:jc w:val="center"/>
              <w:rPr>
                <w:rFonts w:ascii="宋体" w:hAnsi="宋体" w:eastAsia="宋体"/>
                <w:spacing w:val="-6"/>
                <w:sz w:val="24"/>
              </w:rPr>
            </w:pPr>
            <w:r>
              <w:rPr>
                <w:rFonts w:ascii="宋体" w:hAnsi="宋体" w:eastAsia="宋体"/>
                <w:sz w:val="24"/>
              </w:rPr>
              <w:t>耐湿摩擦色牢度</w:t>
            </w:r>
          </w:p>
        </w:tc>
        <w:tc>
          <w:tcPr>
            <w:tcW w:w="348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400" w:lineRule="exact"/>
              <w:jc w:val="center"/>
              <w:rPr>
                <w:rFonts w:ascii="宋体" w:hAnsi="宋体" w:eastAsia="宋体"/>
                <w:spacing w:val="-6"/>
                <w:sz w:val="24"/>
              </w:rPr>
            </w:pPr>
            <w:r>
              <w:rPr>
                <w:rFonts w:ascii="宋体" w:hAnsi="宋体" w:eastAsia="宋体"/>
                <w:sz w:val="24"/>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23" w:hRule="atLeast"/>
          <w:jc w:val="center"/>
        </w:trPr>
        <w:tc>
          <w:tcPr>
            <w:tcW w:w="8462"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snapToGrid w:val="0"/>
              <w:spacing w:line="400" w:lineRule="exact"/>
              <w:rPr>
                <w:rFonts w:ascii="宋体" w:hAnsi="宋体" w:eastAsia="宋体"/>
                <w:color w:val="000000"/>
                <w:sz w:val="24"/>
              </w:rPr>
            </w:pPr>
            <w:r>
              <w:rPr>
                <w:rFonts w:ascii="宋体" w:hAnsi="宋体" w:eastAsia="宋体"/>
                <w:color w:val="000000"/>
                <w:sz w:val="24"/>
              </w:rPr>
              <w:t>备注：1</w:t>
            </w:r>
            <w:r>
              <w:rPr>
                <w:rFonts w:hint="eastAsia" w:ascii="宋体" w:hAnsi="宋体" w:eastAsia="宋体"/>
                <w:color w:val="000000"/>
                <w:sz w:val="24"/>
              </w:rPr>
              <w:t>、</w:t>
            </w:r>
            <w:r>
              <w:rPr>
                <w:rFonts w:ascii="宋体" w:hAnsi="宋体" w:eastAsia="宋体"/>
                <w:color w:val="000000"/>
                <w:sz w:val="24"/>
              </w:rPr>
              <w:t>本色及漂白产品不考核色牢度、可分解致癌芳香胺染料。</w:t>
            </w:r>
          </w:p>
          <w:p>
            <w:pPr>
              <w:widowControl/>
              <w:snapToGrid w:val="0"/>
              <w:spacing w:line="400" w:lineRule="exact"/>
              <w:ind w:firstLine="720" w:firstLineChars="300"/>
              <w:rPr>
                <w:rFonts w:ascii="宋体" w:hAnsi="宋体" w:eastAsia="宋体"/>
                <w:color w:val="000000"/>
                <w:sz w:val="24"/>
              </w:rPr>
            </w:pPr>
            <w:r>
              <w:rPr>
                <w:rFonts w:ascii="宋体" w:hAnsi="宋体" w:eastAsia="宋体"/>
                <w:color w:val="000000"/>
                <w:sz w:val="24"/>
              </w:rPr>
              <w:t>2</w:t>
            </w:r>
            <w:r>
              <w:rPr>
                <w:rFonts w:hint="eastAsia" w:ascii="宋体" w:hAnsi="宋体" w:eastAsia="宋体"/>
                <w:color w:val="000000"/>
                <w:sz w:val="24"/>
              </w:rPr>
              <w:t>、</w:t>
            </w:r>
            <w:r>
              <w:rPr>
                <w:rFonts w:ascii="宋体" w:hAnsi="宋体" w:eastAsia="宋体"/>
                <w:color w:val="000000"/>
                <w:sz w:val="24"/>
              </w:rPr>
              <w:t>色牢度采用单纤维贴衬。</w:t>
            </w:r>
          </w:p>
          <w:p>
            <w:pPr>
              <w:widowControl/>
              <w:snapToGrid w:val="0"/>
              <w:spacing w:line="400" w:lineRule="exact"/>
              <w:ind w:firstLine="720" w:firstLineChars="300"/>
              <w:rPr>
                <w:rFonts w:ascii="宋体" w:hAnsi="宋体" w:eastAsia="宋体"/>
                <w:color w:val="000000"/>
                <w:sz w:val="24"/>
              </w:rPr>
            </w:pPr>
            <w:r>
              <w:rPr>
                <w:rFonts w:ascii="宋体" w:hAnsi="宋体" w:eastAsia="宋体"/>
                <w:color w:val="000000"/>
                <w:sz w:val="24"/>
              </w:rPr>
              <w:t>3</w:t>
            </w:r>
            <w:r>
              <w:rPr>
                <w:rFonts w:hint="eastAsia" w:ascii="宋体" w:hAnsi="宋体" w:eastAsia="宋体"/>
                <w:color w:val="000000"/>
                <w:sz w:val="24"/>
              </w:rPr>
              <w:t>、</w:t>
            </w:r>
            <w:r>
              <w:rPr>
                <w:rFonts w:ascii="宋体" w:hAnsi="宋体" w:eastAsia="宋体"/>
                <w:color w:val="000000"/>
                <w:sz w:val="24"/>
              </w:rPr>
              <w:t>pH值的测定用0.1 mol/L 氯化钾溶液作为萃取介质。</w:t>
            </w:r>
          </w:p>
          <w:p>
            <w:pPr>
              <w:widowControl/>
              <w:snapToGrid w:val="0"/>
              <w:spacing w:line="400" w:lineRule="exact"/>
              <w:ind w:firstLine="720" w:firstLineChars="300"/>
              <w:rPr>
                <w:rFonts w:ascii="宋体" w:hAnsi="宋体" w:eastAsia="宋体"/>
                <w:color w:val="000000"/>
                <w:sz w:val="24"/>
              </w:rPr>
            </w:pPr>
            <w:r>
              <w:rPr>
                <w:rFonts w:ascii="宋体" w:hAnsi="宋体" w:eastAsia="宋体"/>
                <w:color w:val="000000"/>
                <w:sz w:val="24"/>
              </w:rPr>
              <w:t>4</w:t>
            </w:r>
            <w:r>
              <w:rPr>
                <w:rFonts w:hint="eastAsia" w:ascii="宋体" w:hAnsi="宋体" w:eastAsia="宋体"/>
                <w:color w:val="000000"/>
                <w:sz w:val="24"/>
              </w:rPr>
              <w:t>、</w:t>
            </w:r>
            <w:r>
              <w:rPr>
                <w:rFonts w:ascii="宋体" w:hAnsi="宋体" w:eastAsia="宋体"/>
                <w:color w:val="000000"/>
                <w:sz w:val="24"/>
              </w:rPr>
              <w:t>安全类别按产品实际用途确定，对不能确认产品类别的按GB 18401—2010 C类考核。</w:t>
            </w:r>
          </w:p>
        </w:tc>
      </w:tr>
    </w:tbl>
    <w:p>
      <w:pPr>
        <w:spacing w:line="600" w:lineRule="exact"/>
        <w:ind w:firstLine="482" w:firstLineChars="200"/>
        <w:rPr>
          <w:rFonts w:ascii="宋体" w:hAnsi="宋体" w:eastAsia="宋体"/>
          <w:b/>
          <w:sz w:val="24"/>
        </w:rPr>
      </w:pPr>
    </w:p>
    <w:p>
      <w:pPr>
        <w:spacing w:line="600" w:lineRule="exact"/>
        <w:ind w:firstLine="482" w:firstLineChars="200"/>
        <w:rPr>
          <w:rFonts w:ascii="宋体" w:hAnsi="宋体" w:eastAsia="宋体"/>
          <w:b/>
          <w:sz w:val="24"/>
        </w:rPr>
      </w:pPr>
      <w:r>
        <w:rPr>
          <w:rFonts w:ascii="宋体" w:hAnsi="宋体" w:eastAsia="宋体"/>
          <w:b/>
          <w:sz w:val="24"/>
        </w:rPr>
        <w:t>3</w:t>
      </w:r>
      <w:r>
        <w:rPr>
          <w:rFonts w:hint="eastAsia" w:ascii="宋体" w:hAnsi="宋体" w:eastAsia="宋体"/>
          <w:b/>
          <w:sz w:val="24"/>
        </w:rPr>
        <w:t>、判定规则</w:t>
      </w:r>
    </w:p>
    <w:p>
      <w:pPr>
        <w:spacing w:line="360" w:lineRule="auto"/>
        <w:ind w:firstLine="480" w:firstLineChars="200"/>
        <w:rPr>
          <w:rFonts w:ascii="宋体" w:hAnsi="宋体" w:eastAsia="宋体" w:cs="楷体_GB2312"/>
          <w:sz w:val="24"/>
        </w:rPr>
      </w:pPr>
      <w:r>
        <w:rPr>
          <w:rFonts w:hint="eastAsia" w:ascii="宋体" w:hAnsi="宋体" w:eastAsia="宋体" w:cs="楷体_GB2312"/>
          <w:sz w:val="24"/>
        </w:rPr>
        <w:t>3</w:t>
      </w:r>
      <w:r>
        <w:rPr>
          <w:rFonts w:ascii="宋体" w:hAnsi="宋体" w:eastAsia="宋体" w:cs="楷体_GB2312"/>
          <w:sz w:val="24"/>
        </w:rPr>
        <w:t>.1</w:t>
      </w:r>
      <w:r>
        <w:rPr>
          <w:rFonts w:hint="eastAsia" w:ascii="宋体" w:hAnsi="宋体" w:eastAsia="宋体" w:cs="楷体_GB2312"/>
          <w:sz w:val="24"/>
        </w:rPr>
        <w:t>依据标准</w:t>
      </w:r>
    </w:p>
    <w:p>
      <w:pPr>
        <w:autoSpaceDE w:val="0"/>
        <w:autoSpaceDN w:val="0"/>
        <w:spacing w:line="360" w:lineRule="auto"/>
        <w:ind w:firstLine="480" w:firstLineChars="200"/>
        <w:rPr>
          <w:rFonts w:ascii="宋体" w:hAnsi="宋体" w:eastAsia="宋体"/>
          <w:sz w:val="24"/>
        </w:rPr>
      </w:pPr>
      <w:r>
        <w:rPr>
          <w:rFonts w:ascii="宋体" w:hAnsi="宋体" w:eastAsia="宋体"/>
          <w:sz w:val="24"/>
        </w:rPr>
        <w:t>GB 18401—2010《国家纺织产品基本安全技术规范》</w:t>
      </w:r>
    </w:p>
    <w:p>
      <w:pPr>
        <w:autoSpaceDE w:val="0"/>
        <w:autoSpaceDN w:val="0"/>
        <w:spacing w:line="360" w:lineRule="auto"/>
        <w:ind w:firstLine="480" w:firstLineChars="200"/>
        <w:rPr>
          <w:rFonts w:ascii="宋体" w:hAnsi="宋体" w:eastAsia="宋体"/>
          <w:sz w:val="24"/>
        </w:rPr>
      </w:pPr>
      <w:r>
        <w:rPr>
          <w:rFonts w:ascii="宋体" w:hAnsi="宋体" w:eastAsia="宋体"/>
          <w:sz w:val="24"/>
        </w:rPr>
        <w:t>GB 31701—2015《婴幼儿及儿童纺织产品安全技术规范》</w:t>
      </w:r>
    </w:p>
    <w:p>
      <w:pPr>
        <w:widowControl/>
        <w:shd w:val="clear" w:color="auto" w:fill="FFFFFF"/>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相关的法律、行政法规、部门规章、规范性文件</w:t>
      </w:r>
    </w:p>
    <w:p>
      <w:pPr>
        <w:widowControl/>
        <w:shd w:val="clear" w:color="auto" w:fill="FFFFFF"/>
        <w:spacing w:line="360" w:lineRule="auto"/>
        <w:ind w:firstLine="480"/>
        <w:jc w:val="left"/>
        <w:rPr>
          <w:rFonts w:ascii="宋体" w:hAnsi="宋体" w:eastAsia="宋体" w:cs="宋体"/>
          <w:kern w:val="0"/>
          <w:sz w:val="24"/>
        </w:rPr>
      </w:pPr>
      <w:r>
        <w:rPr>
          <w:rFonts w:hint="eastAsia" w:ascii="宋体" w:hAnsi="宋体" w:eastAsia="宋体" w:cs="宋体"/>
          <w:kern w:val="0"/>
          <w:sz w:val="24"/>
        </w:rPr>
        <w:t>现行有效的企业标准、团体标准、地方标准及产品明示质量要求</w:t>
      </w:r>
    </w:p>
    <w:p>
      <w:pPr>
        <w:spacing w:line="360" w:lineRule="auto"/>
        <w:ind w:firstLine="480" w:firstLineChars="200"/>
        <w:rPr>
          <w:rFonts w:ascii="宋体" w:hAnsi="宋体" w:eastAsia="宋体" w:cs="楷体_GB2312"/>
          <w:sz w:val="24"/>
        </w:rPr>
      </w:pPr>
      <w:r>
        <w:rPr>
          <w:rFonts w:hint="eastAsia" w:ascii="宋体" w:hAnsi="宋体" w:eastAsia="宋体" w:cs="楷体_GB2312"/>
          <w:sz w:val="24"/>
        </w:rPr>
        <w:t>3</w:t>
      </w:r>
      <w:r>
        <w:rPr>
          <w:rFonts w:ascii="宋体" w:hAnsi="宋体" w:eastAsia="宋体" w:cs="楷体_GB2312"/>
          <w:sz w:val="24"/>
        </w:rPr>
        <w:t>.2</w:t>
      </w:r>
      <w:r>
        <w:rPr>
          <w:rFonts w:hint="eastAsia" w:ascii="宋体" w:hAnsi="宋体" w:eastAsia="宋体" w:cs="楷体_GB2312"/>
          <w:sz w:val="24"/>
        </w:rPr>
        <w:t>判定原则</w:t>
      </w:r>
    </w:p>
    <w:p>
      <w:pPr>
        <w:snapToGrid w:val="0"/>
        <w:spacing w:line="360" w:lineRule="auto"/>
        <w:ind w:firstLine="480" w:firstLineChars="200"/>
        <w:rPr>
          <w:rFonts w:eastAsia="宋体"/>
          <w:sz w:val="24"/>
        </w:rPr>
      </w:pPr>
      <w:r>
        <w:rPr>
          <w:rFonts w:hint="eastAsia" w:eastAsia="宋体"/>
          <w:sz w:val="24"/>
        </w:rPr>
        <w:t>经检验，检验项目全部合格，判定为被抽查产品所检项目未发现不合格；检验项目中任一项或一项以上不合格，判定为被抽查产品不合格。</w:t>
      </w:r>
    </w:p>
    <w:p>
      <w:pPr>
        <w:snapToGrid w:val="0"/>
        <w:spacing w:line="360" w:lineRule="auto"/>
        <w:ind w:firstLine="477" w:firstLineChars="199"/>
        <w:rPr>
          <w:rFonts w:eastAsia="宋体"/>
          <w:sz w:val="24"/>
        </w:rPr>
      </w:pPr>
      <w:r>
        <w:rPr>
          <w:rFonts w:hint="eastAsia" w:eastAsia="宋体"/>
          <w:sz w:val="24"/>
        </w:rPr>
        <w:t>若被检产品明示的质量要求高于本细则中检验项目依据的标准要求时，应按被检产品明示的质量要求判定。</w:t>
      </w:r>
    </w:p>
    <w:p>
      <w:pPr>
        <w:snapToGrid w:val="0"/>
        <w:spacing w:line="360" w:lineRule="auto"/>
        <w:ind w:firstLine="477" w:firstLineChars="199"/>
        <w:rPr>
          <w:rFonts w:eastAsia="宋体"/>
          <w:sz w:val="24"/>
        </w:rPr>
      </w:pPr>
      <w:r>
        <w:rPr>
          <w:rFonts w:hint="eastAsia" w:eastAsia="宋体"/>
          <w:sz w:val="24"/>
        </w:rPr>
        <w:t>若被检产品明示的质量要求低于本细则中检验项目依据的强制性标准要求时，应按照强制性标准要求判定。</w:t>
      </w:r>
    </w:p>
    <w:p>
      <w:pPr>
        <w:snapToGrid w:val="0"/>
        <w:spacing w:line="360" w:lineRule="auto"/>
        <w:ind w:firstLine="477" w:firstLineChars="199"/>
        <w:rPr>
          <w:rFonts w:eastAsia="宋体"/>
          <w:sz w:val="24"/>
        </w:rPr>
      </w:pPr>
      <w:r>
        <w:rPr>
          <w:rFonts w:hint="eastAsia" w:eastAsia="宋体"/>
          <w:sz w:val="24"/>
        </w:rPr>
        <w:t>若被检产品明示的质量要求低于或包含本细则中检验项目依据的推荐性标准要求时，应以被检产品明示的质量要求判定。</w:t>
      </w:r>
    </w:p>
    <w:p>
      <w:pPr>
        <w:snapToGrid w:val="0"/>
        <w:spacing w:line="360" w:lineRule="auto"/>
        <w:ind w:firstLine="477" w:firstLineChars="199"/>
        <w:rPr>
          <w:rFonts w:eastAsia="宋体"/>
          <w:sz w:val="24"/>
        </w:rPr>
      </w:pPr>
      <w:r>
        <w:rPr>
          <w:rFonts w:hint="eastAsia" w:eastAsia="宋体"/>
          <w:sz w:val="24"/>
        </w:rPr>
        <w:t>若被检产品明示的质量要求缺少本细则中检验项目依据的强制性标准要求时，应按照强制性标准要求判定。</w:t>
      </w:r>
    </w:p>
    <w:p>
      <w:pPr>
        <w:snapToGrid w:val="0"/>
        <w:spacing w:line="360" w:lineRule="auto"/>
        <w:ind w:firstLine="477" w:firstLineChars="199"/>
        <w:rPr>
          <w:rFonts w:eastAsia="宋体"/>
          <w:sz w:val="24"/>
        </w:rPr>
      </w:pPr>
      <w:r>
        <w:rPr>
          <w:rFonts w:hint="eastAsia" w:eastAsia="宋体"/>
          <w:sz w:val="24"/>
        </w:rPr>
        <w:t>若被检产品明示的质量要求缺少本细则中检验项目依据的推荐性标准要求时，该项目不参与判定。</w:t>
      </w:r>
    </w:p>
    <w:p>
      <w:pPr>
        <w:spacing w:line="360" w:lineRule="auto"/>
        <w:rPr>
          <w:b/>
          <w:bCs/>
        </w:rPr>
      </w:pPr>
    </w:p>
    <w:sectPr>
      <w:pgSz w:w="11906" w:h="16838"/>
      <w:pgMar w:top="2098" w:right="1474"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A04"/>
    <w:rsid w:val="00374F1B"/>
    <w:rsid w:val="00434606"/>
    <w:rsid w:val="009948E0"/>
    <w:rsid w:val="009C6ADC"/>
    <w:rsid w:val="00A34A04"/>
    <w:rsid w:val="00BD52A3"/>
    <w:rsid w:val="00C14729"/>
    <w:rsid w:val="00C22DA6"/>
    <w:rsid w:val="2A8E498B"/>
    <w:rsid w:val="44096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jc w:val="center"/>
      <w:outlineLvl w:val="0"/>
    </w:pPr>
    <w:rPr>
      <w:rFonts w:ascii="方正小标宋简体" w:eastAsia="方正小标宋简体"/>
      <w:kern w:val="44"/>
      <w:sz w:val="38"/>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5">
    <w:name w:val="列出段落2"/>
    <w:qFormat/>
    <w:uiPriority w:val="0"/>
    <w:pPr>
      <w:widowControl w:val="0"/>
      <w:ind w:firstLine="420" w:firstLineChars="200"/>
      <w:jc w:val="both"/>
    </w:pPr>
    <w:rPr>
      <w:rFonts w:ascii="Times New Roman" w:hAnsi="Times New Roman" w:eastAsia="仿宋_GB2312" w:cs="Times New Roman"/>
      <w:kern w:val="2"/>
      <w:sz w:val="30"/>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2</Pages>
  <Words>140</Words>
  <Characters>799</Characters>
  <Lines>6</Lines>
  <Paragraphs>1</Paragraphs>
  <TotalTime>6</TotalTime>
  <ScaleCrop>false</ScaleCrop>
  <LinksUpToDate>false</LinksUpToDate>
  <CharactersWithSpaces>938</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gdqts</dc:creator>
  <cp:lastModifiedBy>宋翊</cp:lastModifiedBy>
  <dcterms:modified xsi:type="dcterms:W3CDTF">2024-04-18T07:40:00Z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AE15058E5156444BA566EB78CE78511E</vt:lpwstr>
  </property>
</Properties>
</file>