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after="0" w:afterAutospacing="0"/>
        <w:jc w:val="center"/>
        <w:rPr>
          <w:rFonts w:hint="eastAsia" w:ascii="方正小标宋简体" w:eastAsia="方正小标宋简体"/>
          <w:b w:val="0"/>
          <w:bCs w:val="0"/>
          <w:sz w:val="32"/>
          <w:szCs w:val="32"/>
        </w:rPr>
      </w:pPr>
      <w:r>
        <w:rPr>
          <w:rFonts w:hint="eastAsia" w:ascii="方正小标宋简体" w:eastAsia="方正小标宋简体"/>
          <w:b w:val="0"/>
          <w:bCs w:val="0"/>
          <w:sz w:val="32"/>
          <w:szCs w:val="32"/>
        </w:rPr>
        <w:t>广州市市场监督管理局汽车后视镜产品质量监督</w:t>
      </w:r>
    </w:p>
    <w:p>
      <w:pPr>
        <w:pStyle w:val="2"/>
        <w:spacing w:before="0" w:beforeAutospacing="0" w:after="0" w:afterAutospacing="0"/>
        <w:jc w:val="center"/>
        <w:rPr>
          <w:rFonts w:hint="eastAsia" w:ascii="Times New Roman" w:hAnsi="Times New Roman" w:eastAsia="方正小标宋简体" w:cs="Times New Roman"/>
          <w:color w:val="auto"/>
          <w:sz w:val="32"/>
          <w:szCs w:val="32"/>
          <w:highlight w:val="none"/>
        </w:rPr>
      </w:pPr>
      <w:r>
        <w:rPr>
          <w:rFonts w:hint="eastAsia" w:ascii="方正小标宋简体" w:eastAsia="方正小标宋简体"/>
          <w:b w:val="0"/>
          <w:bCs w:val="0"/>
          <w:sz w:val="32"/>
          <w:szCs w:val="32"/>
        </w:rPr>
        <w:t>抽查实施细则（2024年4月修订版）</w:t>
      </w:r>
    </w:p>
    <w:p>
      <w:pPr>
        <w:snapToGrid w:val="0"/>
        <w:spacing w:line="440" w:lineRule="exact"/>
        <w:rPr>
          <w:rFonts w:ascii="Times New Roman" w:hAnsi="Times New Roman" w:eastAsia="黑体" w:cs="Times New Roman"/>
          <w:color w:val="auto"/>
          <w:szCs w:val="21"/>
          <w:highlight w:val="none"/>
        </w:rPr>
      </w:pPr>
    </w:p>
    <w:p>
      <w:pPr>
        <w:snapToGrid w:val="0"/>
        <w:spacing w:line="440" w:lineRule="exact"/>
        <w:rPr>
          <w:rFonts w:ascii="Times New Roman" w:hAnsi="Times New Roman" w:eastAsia="黑体" w:cs="Times New Roman"/>
          <w:color w:val="auto"/>
          <w:szCs w:val="21"/>
          <w:highlight w:val="none"/>
        </w:rPr>
      </w:pPr>
      <w:r>
        <w:rPr>
          <w:rFonts w:ascii="Times New Roman" w:hAnsi="Times New Roman" w:eastAsia="黑体" w:cs="Times New Roman"/>
          <w:color w:val="auto"/>
          <w:szCs w:val="21"/>
          <w:highlight w:val="none"/>
        </w:rPr>
        <w:t>1 抽样方法</w:t>
      </w:r>
    </w:p>
    <w:p>
      <w:pPr>
        <w:snapToGrid w:val="0"/>
        <w:spacing w:line="440" w:lineRule="exact"/>
        <w:ind w:firstLine="420" w:firstLineChars="200"/>
        <w:rPr>
          <w:rFonts w:hint="eastAsia"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以随机抽样的方式在被抽样生产者、销售者的待销产品中抽取。</w:t>
      </w:r>
    </w:p>
    <w:p>
      <w:pPr>
        <w:snapToGrid w:val="0"/>
        <w:spacing w:line="440" w:lineRule="exact"/>
        <w:ind w:firstLine="420" w:firstLineChars="200"/>
        <w:rPr>
          <w:rFonts w:hint="eastAsia"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随机数一般可使用随机数表等方法产生。</w:t>
      </w:r>
    </w:p>
    <w:p>
      <w:pPr>
        <w:snapToGrid w:val="0"/>
        <w:spacing w:line="440" w:lineRule="exact"/>
        <w:ind w:firstLine="420" w:firstLineChars="200"/>
        <w:rPr>
          <w:rFonts w:hint="eastAsia"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lang w:val="en-US" w:eastAsia="zh-CN"/>
        </w:rPr>
        <w:t>抽样产品为传统玻璃成像的视镜，带</w:t>
      </w:r>
      <w:r>
        <w:rPr>
          <w:rFonts w:hint="default" w:ascii="Times New Roman" w:hAnsi="Times New Roman" w:eastAsia="宋体" w:cs="Times New Roman"/>
          <w:color w:val="auto"/>
          <w:szCs w:val="21"/>
          <w:highlight w:val="none"/>
          <w:lang w:val="en-US" w:eastAsia="zh-CN"/>
        </w:rPr>
        <w:t>CMS</w:t>
      </w:r>
      <w:r>
        <w:rPr>
          <w:rFonts w:hint="eastAsia" w:ascii="Times New Roman" w:hAnsi="Times New Roman" w:eastAsia="宋体" w:cs="Times New Roman"/>
          <w:color w:val="auto"/>
          <w:szCs w:val="21"/>
          <w:highlight w:val="none"/>
          <w:lang w:val="en-US" w:eastAsia="zh-CN"/>
        </w:rPr>
        <w:t>的电子成像视镜不抽</w:t>
      </w:r>
      <w:r>
        <w:rPr>
          <w:rFonts w:hint="eastAsia" w:cs="Times New Roman"/>
          <w:color w:val="auto"/>
          <w:szCs w:val="21"/>
          <w:highlight w:val="none"/>
          <w:lang w:val="en-US" w:eastAsia="zh-CN"/>
        </w:rPr>
        <w:t>。</w:t>
      </w:r>
    </w:p>
    <w:p>
      <w:pPr>
        <w:snapToGrid w:val="0"/>
        <w:spacing w:line="440" w:lineRule="exact"/>
        <w:ind w:firstLine="420" w:firstLineChars="200"/>
        <w:rPr>
          <w:rFonts w:hint="eastAsia" w:ascii="Times New Roman" w:hAnsi="Times New Roman" w:eastAsia="宋体" w:cs="Times New Roman"/>
          <w:color w:val="auto"/>
          <w:szCs w:val="21"/>
          <w:highlight w:val="none"/>
          <w:lang w:eastAsia="zh-CN"/>
        </w:rPr>
      </w:pPr>
      <w:r>
        <w:rPr>
          <w:rFonts w:hint="eastAsia" w:ascii="Times New Roman" w:hAnsi="Times New Roman" w:eastAsia="宋体" w:cs="Times New Roman"/>
          <w:color w:val="auto"/>
          <w:szCs w:val="21"/>
          <w:highlight w:val="none"/>
        </w:rPr>
        <w:t>抽样数量见表1</w:t>
      </w:r>
      <w:r>
        <w:rPr>
          <w:rFonts w:hint="eastAsia" w:ascii="Times New Roman" w:hAnsi="Times New Roman" w:eastAsia="宋体" w:cs="Times New Roman"/>
          <w:color w:val="auto"/>
          <w:szCs w:val="21"/>
          <w:highlight w:val="none"/>
          <w:lang w:eastAsia="zh-CN"/>
        </w:rPr>
        <w:t>。</w:t>
      </w:r>
    </w:p>
    <w:p>
      <w:pPr>
        <w:snapToGrid w:val="0"/>
        <w:spacing w:line="440" w:lineRule="exact"/>
        <w:jc w:val="center"/>
        <w:rPr>
          <w:rFonts w:ascii="Times New Roman" w:hAnsi="Times New Roman" w:eastAsia="黑体" w:cs="Times New Roman"/>
          <w:color w:val="auto"/>
          <w:szCs w:val="21"/>
          <w:highlight w:val="none"/>
        </w:rPr>
      </w:pPr>
      <w:r>
        <w:rPr>
          <w:rFonts w:ascii="Times New Roman" w:hAnsi="Times New Roman" w:eastAsia="黑体" w:cs="Times New Roman"/>
          <w:color w:val="auto"/>
          <w:szCs w:val="21"/>
          <w:highlight w:val="none"/>
        </w:rPr>
        <w:t>表1 抽样数量</w:t>
      </w:r>
    </w:p>
    <w:tbl>
      <w:tblPr>
        <w:tblStyle w:val="3"/>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3526"/>
        <w:gridCol w:w="1488"/>
        <w:gridCol w:w="1488"/>
        <w:gridCol w:w="13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389" w:type="pct"/>
            <w:noWrap w:val="0"/>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序号</w:t>
            </w:r>
          </w:p>
        </w:tc>
        <w:tc>
          <w:tcPr>
            <w:tcW w:w="2068" w:type="pct"/>
            <w:noWrap w:val="0"/>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产品名称</w:t>
            </w:r>
          </w:p>
        </w:tc>
        <w:tc>
          <w:tcPr>
            <w:tcW w:w="873" w:type="pct"/>
            <w:noWrap w:val="0"/>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抽样数量</w:t>
            </w:r>
          </w:p>
        </w:tc>
        <w:tc>
          <w:tcPr>
            <w:tcW w:w="873" w:type="pct"/>
            <w:noWrap w:val="0"/>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检验样品</w:t>
            </w:r>
          </w:p>
        </w:tc>
        <w:tc>
          <w:tcPr>
            <w:tcW w:w="794" w:type="pct"/>
            <w:noWrap w:val="0"/>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备用样品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389" w:type="pct"/>
            <w:noWrap w:val="0"/>
            <w:vAlign w:val="center"/>
          </w:tcPr>
          <w:p>
            <w:pPr>
              <w:snapToGrid w:val="0"/>
              <w:spacing w:line="300" w:lineRule="exact"/>
              <w:jc w:val="center"/>
              <w:rPr>
                <w:rFonts w:hint="default" w:ascii="宋体" w:hAnsi="宋体" w:eastAsia="宋体" w:cs="宋体"/>
                <w:color w:val="000000"/>
                <w:sz w:val="21"/>
                <w:szCs w:val="21"/>
                <w:lang w:val="en-US"/>
              </w:rPr>
            </w:pPr>
            <w:r>
              <w:rPr>
                <w:rFonts w:hint="default" w:ascii="宋体" w:hAnsi="宋体" w:cs="宋体"/>
                <w:color w:val="000000"/>
                <w:sz w:val="21"/>
                <w:szCs w:val="21"/>
                <w:lang w:val="en-US"/>
              </w:rPr>
              <w:t>1</w:t>
            </w:r>
          </w:p>
        </w:tc>
        <w:tc>
          <w:tcPr>
            <w:tcW w:w="2068" w:type="pct"/>
            <w:noWrap w:val="0"/>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汽车后视镜</w:t>
            </w:r>
          </w:p>
        </w:tc>
        <w:tc>
          <w:tcPr>
            <w:tcW w:w="873" w:type="pct"/>
            <w:noWrap w:val="0"/>
            <w:vAlign w:val="center"/>
          </w:tcPr>
          <w:p>
            <w:pPr>
              <w:snapToGrid w:val="0"/>
              <w:spacing w:line="300" w:lineRule="exact"/>
              <w:jc w:val="center"/>
              <w:rPr>
                <w:rFonts w:hint="eastAsia" w:ascii="宋体" w:hAnsi="宋体" w:eastAsia="宋体" w:cs="宋体"/>
                <w:color w:val="000000"/>
                <w:sz w:val="21"/>
                <w:szCs w:val="21"/>
                <w:lang w:val="en-US" w:eastAsia="zh-CN"/>
              </w:rPr>
            </w:pPr>
            <w:r>
              <w:rPr>
                <w:rFonts w:hint="default" w:ascii="宋体" w:hAnsi="宋体" w:cs="宋体"/>
                <w:color w:val="000000"/>
                <w:sz w:val="21"/>
                <w:szCs w:val="21"/>
                <w:lang w:val="en-US"/>
              </w:rPr>
              <w:t>3</w:t>
            </w:r>
            <w:r>
              <w:rPr>
                <w:rFonts w:hint="eastAsia" w:ascii="宋体" w:hAnsi="宋体" w:cs="宋体"/>
                <w:color w:val="000000"/>
                <w:sz w:val="21"/>
                <w:szCs w:val="21"/>
                <w:lang w:val="en-US" w:eastAsia="zh-CN"/>
              </w:rPr>
              <w:t>件</w:t>
            </w:r>
          </w:p>
        </w:tc>
        <w:tc>
          <w:tcPr>
            <w:tcW w:w="873" w:type="pct"/>
            <w:noWrap w:val="0"/>
            <w:vAlign w:val="center"/>
          </w:tcPr>
          <w:p>
            <w:pPr>
              <w:snapToGrid w:val="0"/>
              <w:spacing w:line="300" w:lineRule="exact"/>
              <w:jc w:val="center"/>
              <w:rPr>
                <w:rFonts w:hint="eastAsia" w:ascii="宋体" w:hAnsi="宋体" w:eastAsia="宋体" w:cs="宋体"/>
                <w:color w:val="000000"/>
                <w:sz w:val="21"/>
                <w:szCs w:val="21"/>
              </w:rPr>
            </w:pPr>
            <w:r>
              <w:rPr>
                <w:rFonts w:hint="default" w:ascii="宋体" w:hAnsi="宋体" w:cs="宋体"/>
                <w:color w:val="000000"/>
                <w:sz w:val="21"/>
                <w:szCs w:val="21"/>
                <w:lang w:val="en-US" w:eastAsia="zh-CN"/>
              </w:rPr>
              <w:t>2</w:t>
            </w:r>
            <w:r>
              <w:rPr>
                <w:rFonts w:hint="eastAsia" w:ascii="宋体" w:hAnsi="宋体" w:cs="宋体"/>
                <w:color w:val="000000"/>
                <w:sz w:val="21"/>
                <w:szCs w:val="21"/>
                <w:lang w:val="en-US" w:eastAsia="zh-CN"/>
              </w:rPr>
              <w:t>件</w:t>
            </w:r>
          </w:p>
        </w:tc>
        <w:tc>
          <w:tcPr>
            <w:tcW w:w="794" w:type="pct"/>
            <w:noWrap w:val="0"/>
            <w:vAlign w:val="center"/>
          </w:tcPr>
          <w:p>
            <w:pPr>
              <w:snapToGrid w:val="0"/>
              <w:spacing w:line="300" w:lineRule="exact"/>
              <w:jc w:val="center"/>
              <w:rPr>
                <w:rFonts w:hint="eastAsia" w:ascii="宋体" w:hAnsi="宋体" w:eastAsia="宋体" w:cs="宋体"/>
                <w:color w:val="000000"/>
                <w:sz w:val="21"/>
                <w:szCs w:val="21"/>
              </w:rPr>
            </w:pPr>
            <w:r>
              <w:rPr>
                <w:rFonts w:hint="default" w:ascii="宋体" w:hAnsi="宋体" w:cs="宋体"/>
                <w:color w:val="000000"/>
                <w:sz w:val="21"/>
                <w:szCs w:val="21"/>
                <w:lang w:val="en-US" w:eastAsia="zh-CN"/>
              </w:rPr>
              <w:t>1</w:t>
            </w:r>
            <w:r>
              <w:rPr>
                <w:rFonts w:hint="eastAsia" w:ascii="宋体" w:hAnsi="宋体" w:cs="宋体"/>
                <w:color w:val="000000"/>
                <w:sz w:val="21"/>
                <w:szCs w:val="21"/>
                <w:lang w:val="en-US" w:eastAsia="zh-CN"/>
              </w:rPr>
              <w:t>件</w:t>
            </w:r>
          </w:p>
        </w:tc>
      </w:tr>
    </w:tbl>
    <w:p>
      <w:pPr>
        <w:snapToGrid w:val="0"/>
        <w:spacing w:line="440" w:lineRule="exact"/>
        <w:ind w:firstLine="420" w:firstLineChars="200"/>
        <w:rPr>
          <w:rFonts w:ascii="Times New Roman" w:hAnsi="Times New Roman" w:eastAsia="宋体" w:cs="Times New Roman"/>
          <w:color w:val="auto"/>
          <w:szCs w:val="21"/>
          <w:highlight w:val="none"/>
        </w:rPr>
      </w:pPr>
    </w:p>
    <w:p>
      <w:pPr>
        <w:snapToGrid w:val="0"/>
        <w:spacing w:line="440" w:lineRule="exact"/>
        <w:rPr>
          <w:rFonts w:ascii="Times New Roman" w:hAnsi="Times New Roman" w:eastAsia="黑体" w:cs="Times New Roman"/>
          <w:color w:val="auto"/>
          <w:szCs w:val="21"/>
          <w:highlight w:val="none"/>
        </w:rPr>
      </w:pPr>
      <w:r>
        <w:rPr>
          <w:rFonts w:ascii="Times New Roman" w:hAnsi="Times New Roman" w:eastAsia="黑体" w:cs="Times New Roman"/>
          <w:color w:val="auto"/>
          <w:szCs w:val="21"/>
          <w:highlight w:val="none"/>
        </w:rPr>
        <w:t>2 检验依据</w:t>
      </w:r>
    </w:p>
    <w:p>
      <w:pPr>
        <w:snapToGrid w:val="0"/>
        <w:spacing w:line="440" w:lineRule="exact"/>
        <w:rPr>
          <w:rFonts w:ascii="Times New Roman" w:hAnsi="Times New Roman" w:eastAsia="黑体" w:cs="Times New Roman"/>
          <w:color w:val="auto"/>
          <w:szCs w:val="21"/>
          <w:highlight w:val="none"/>
        </w:rPr>
      </w:pPr>
    </w:p>
    <w:p>
      <w:pPr>
        <w:snapToGrid w:val="0"/>
        <w:spacing w:line="440" w:lineRule="exact"/>
        <w:jc w:val="center"/>
        <w:rPr>
          <w:rFonts w:hint="default" w:ascii="Times New Roman" w:hAnsi="Times New Roman" w:eastAsia="黑体" w:cs="Times New Roman"/>
          <w:color w:val="auto"/>
          <w:szCs w:val="21"/>
          <w:highlight w:val="none"/>
          <w:lang w:val="en-US" w:eastAsia="zh-CN"/>
        </w:rPr>
      </w:pPr>
      <w:r>
        <w:rPr>
          <w:rFonts w:ascii="Times New Roman" w:hAnsi="Times New Roman" w:eastAsia="黑体" w:cs="Times New Roman"/>
          <w:color w:val="auto"/>
          <w:szCs w:val="21"/>
          <w:highlight w:val="none"/>
        </w:rPr>
        <w:t xml:space="preserve">表2 </w:t>
      </w:r>
      <w:r>
        <w:rPr>
          <w:rFonts w:hint="eastAsia" w:eastAsia="黑体" w:cs="Times New Roman"/>
          <w:color w:val="auto"/>
          <w:szCs w:val="21"/>
          <w:highlight w:val="none"/>
          <w:lang w:val="en-US" w:eastAsia="zh-CN"/>
        </w:rPr>
        <w:t>检验项目</w:t>
      </w: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13"/>
        <w:gridCol w:w="3604"/>
        <w:gridCol w:w="3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6" w:type="pct"/>
            <w:noWrap w:val="0"/>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序号</w:t>
            </w:r>
          </w:p>
        </w:tc>
        <w:tc>
          <w:tcPr>
            <w:tcW w:w="2114" w:type="pct"/>
            <w:noWrap w:val="0"/>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检验项目</w:t>
            </w:r>
          </w:p>
        </w:tc>
        <w:tc>
          <w:tcPr>
            <w:tcW w:w="1938" w:type="pct"/>
            <w:noWrap w:val="0"/>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6" w:type="pct"/>
            <w:noWrap w:val="0"/>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1</w:t>
            </w:r>
          </w:p>
        </w:tc>
        <w:tc>
          <w:tcPr>
            <w:tcW w:w="2114" w:type="pct"/>
            <w:noWrap w:val="0"/>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通用</w:t>
            </w:r>
            <w:r>
              <w:rPr>
                <w:rFonts w:hint="eastAsia" w:ascii="宋体" w:hAnsi="宋体" w:eastAsia="宋体" w:cs="宋体"/>
                <w:color w:val="000000"/>
                <w:sz w:val="21"/>
                <w:szCs w:val="21"/>
              </w:rPr>
              <w:t>要求</w:t>
            </w:r>
          </w:p>
        </w:tc>
        <w:tc>
          <w:tcPr>
            <w:tcW w:w="1938" w:type="pct"/>
            <w:noWrap w:val="0"/>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GB </w:t>
            </w:r>
            <w:r>
              <w:rPr>
                <w:rFonts w:hint="default" w:ascii="宋体" w:hAnsi="宋体" w:cs="宋体"/>
                <w:color w:val="000000"/>
                <w:sz w:val="21"/>
                <w:szCs w:val="21"/>
                <w:lang w:val="en-US"/>
              </w:rPr>
              <w:t>15084</w:t>
            </w:r>
            <w:r>
              <w:rPr>
                <w:rFonts w:hint="eastAsia" w:ascii="宋体" w:hAnsi="宋体" w:eastAsia="宋体" w:cs="宋体"/>
                <w:color w:val="000000"/>
                <w:sz w:val="21"/>
                <w:szCs w:val="21"/>
              </w:rPr>
              <w:t>—202</w:t>
            </w:r>
            <w:r>
              <w:rPr>
                <w:rFonts w:hint="default" w:ascii="宋体" w:hAnsi="宋体" w:cs="宋体"/>
                <w:color w:val="000000"/>
                <w:sz w:val="21"/>
                <w:szCs w:val="21"/>
                <w:lang w:val="en-US"/>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6" w:type="pct"/>
            <w:noWrap w:val="0"/>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2</w:t>
            </w:r>
          </w:p>
        </w:tc>
        <w:tc>
          <w:tcPr>
            <w:tcW w:w="2114" w:type="pct"/>
            <w:noWrap w:val="0"/>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尺寸</w:t>
            </w:r>
          </w:p>
        </w:tc>
        <w:tc>
          <w:tcPr>
            <w:tcW w:w="1938" w:type="pct"/>
            <w:noWrap w:val="0"/>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GB </w:t>
            </w:r>
            <w:r>
              <w:rPr>
                <w:rFonts w:hint="default" w:ascii="宋体" w:hAnsi="宋体" w:cs="宋体"/>
                <w:color w:val="000000"/>
                <w:sz w:val="21"/>
                <w:szCs w:val="21"/>
                <w:lang w:val="en-US"/>
              </w:rPr>
              <w:t>15084</w:t>
            </w:r>
            <w:r>
              <w:rPr>
                <w:rFonts w:hint="eastAsia" w:ascii="宋体" w:hAnsi="宋体" w:eastAsia="宋体" w:cs="宋体"/>
                <w:color w:val="000000"/>
                <w:sz w:val="21"/>
                <w:szCs w:val="21"/>
              </w:rPr>
              <w:t>—202</w:t>
            </w:r>
            <w:r>
              <w:rPr>
                <w:rFonts w:hint="default" w:ascii="宋体" w:hAnsi="宋体" w:cs="宋体"/>
                <w:color w:val="000000"/>
                <w:sz w:val="21"/>
                <w:szCs w:val="21"/>
                <w:lang w:val="en-US"/>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6" w:type="pct"/>
            <w:noWrap w:val="0"/>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3</w:t>
            </w:r>
          </w:p>
        </w:tc>
        <w:tc>
          <w:tcPr>
            <w:tcW w:w="2114" w:type="pct"/>
            <w:noWrap w:val="0"/>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反射面</w:t>
            </w:r>
          </w:p>
        </w:tc>
        <w:tc>
          <w:tcPr>
            <w:tcW w:w="1938" w:type="pct"/>
            <w:noWrap w:val="0"/>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GB </w:t>
            </w:r>
            <w:r>
              <w:rPr>
                <w:rFonts w:hint="default" w:ascii="宋体" w:hAnsi="宋体" w:cs="宋体"/>
                <w:color w:val="000000"/>
                <w:sz w:val="21"/>
                <w:szCs w:val="21"/>
                <w:lang w:val="en-US"/>
              </w:rPr>
              <w:t>15084</w:t>
            </w:r>
            <w:r>
              <w:rPr>
                <w:rFonts w:hint="eastAsia" w:ascii="宋体" w:hAnsi="宋体" w:eastAsia="宋体" w:cs="宋体"/>
                <w:color w:val="000000"/>
                <w:sz w:val="21"/>
                <w:szCs w:val="21"/>
              </w:rPr>
              <w:t>—202</w:t>
            </w:r>
            <w:r>
              <w:rPr>
                <w:rFonts w:hint="default" w:ascii="宋体" w:hAnsi="宋体" w:cs="宋体"/>
                <w:color w:val="000000"/>
                <w:sz w:val="21"/>
                <w:szCs w:val="21"/>
                <w:lang w:val="en-US"/>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6" w:type="pct"/>
            <w:noWrap w:val="0"/>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4</w:t>
            </w:r>
          </w:p>
        </w:tc>
        <w:tc>
          <w:tcPr>
            <w:tcW w:w="2114" w:type="pct"/>
            <w:noWrap w:val="0"/>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曲率半径</w:t>
            </w:r>
          </w:p>
        </w:tc>
        <w:tc>
          <w:tcPr>
            <w:tcW w:w="1938" w:type="pct"/>
            <w:noWrap w:val="0"/>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GB </w:t>
            </w:r>
            <w:r>
              <w:rPr>
                <w:rFonts w:hint="default" w:ascii="宋体" w:hAnsi="宋体" w:cs="宋体"/>
                <w:color w:val="000000"/>
                <w:sz w:val="21"/>
                <w:szCs w:val="21"/>
                <w:lang w:val="en-US"/>
              </w:rPr>
              <w:t>15084</w:t>
            </w:r>
            <w:r>
              <w:rPr>
                <w:rFonts w:hint="eastAsia" w:ascii="宋体" w:hAnsi="宋体" w:eastAsia="宋体" w:cs="宋体"/>
                <w:color w:val="000000"/>
                <w:sz w:val="21"/>
                <w:szCs w:val="21"/>
              </w:rPr>
              <w:t>—202</w:t>
            </w:r>
            <w:r>
              <w:rPr>
                <w:rFonts w:hint="default" w:ascii="宋体" w:hAnsi="宋体" w:cs="宋体"/>
                <w:color w:val="000000"/>
                <w:sz w:val="21"/>
                <w:szCs w:val="21"/>
                <w:lang w:val="en-US"/>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6" w:type="pct"/>
            <w:noWrap w:val="0"/>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5</w:t>
            </w:r>
          </w:p>
        </w:tc>
        <w:tc>
          <w:tcPr>
            <w:tcW w:w="2114" w:type="pct"/>
            <w:noWrap w:val="0"/>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撞击试验</w:t>
            </w:r>
          </w:p>
        </w:tc>
        <w:tc>
          <w:tcPr>
            <w:tcW w:w="1938" w:type="pct"/>
            <w:noWrap w:val="0"/>
            <w:vAlign w:val="center"/>
          </w:tcPr>
          <w:p>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GB </w:t>
            </w:r>
            <w:r>
              <w:rPr>
                <w:rFonts w:hint="default" w:ascii="宋体" w:hAnsi="宋体" w:cs="宋体"/>
                <w:color w:val="000000"/>
                <w:sz w:val="21"/>
                <w:szCs w:val="21"/>
                <w:lang w:val="en-US"/>
              </w:rPr>
              <w:t>15084</w:t>
            </w:r>
            <w:r>
              <w:rPr>
                <w:rFonts w:hint="eastAsia" w:ascii="宋体" w:hAnsi="宋体" w:eastAsia="宋体" w:cs="宋体"/>
                <w:color w:val="000000"/>
                <w:sz w:val="21"/>
                <w:szCs w:val="21"/>
              </w:rPr>
              <w:t>—202</w:t>
            </w:r>
            <w:r>
              <w:rPr>
                <w:rFonts w:hint="default" w:ascii="宋体" w:hAnsi="宋体" w:cs="宋体"/>
                <w:color w:val="000000"/>
                <w:sz w:val="21"/>
                <w:szCs w:val="21"/>
                <w:lang w:val="en-US"/>
              </w:rPr>
              <w:t>2</w:t>
            </w:r>
          </w:p>
        </w:tc>
      </w:tr>
    </w:tbl>
    <w:p>
      <w:pPr>
        <w:adjustRightInd w:val="0"/>
        <w:snapToGrid w:val="0"/>
        <w:spacing w:line="440" w:lineRule="exact"/>
        <w:ind w:firstLine="420" w:firstLineChars="200"/>
        <w:rPr>
          <w:rFonts w:hint="eastAsia"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执行企业标准、团体标准、地方标准的产品，检验项目参照上述内容执行。</w:t>
      </w:r>
    </w:p>
    <w:p>
      <w:pPr>
        <w:snapToGrid w:val="0"/>
        <w:spacing w:line="440" w:lineRule="exact"/>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凡是注日期的文件，其随后所有的修改单（不包括勘误的内容）或修订版不适用于本细则。凡是不注日期的文件，其最新版本适用于本细则。</w:t>
      </w:r>
    </w:p>
    <w:p>
      <w:pPr>
        <w:snapToGrid w:val="0"/>
        <w:spacing w:line="440" w:lineRule="exact"/>
        <w:rPr>
          <w:rFonts w:ascii="Times New Roman" w:hAnsi="Times New Roman" w:eastAsia="宋体" w:cs="Times New Roman"/>
          <w:color w:val="auto"/>
          <w:szCs w:val="21"/>
          <w:highlight w:val="none"/>
        </w:rPr>
      </w:pPr>
    </w:p>
    <w:p>
      <w:pPr>
        <w:snapToGrid w:val="0"/>
        <w:spacing w:line="440" w:lineRule="exact"/>
        <w:rPr>
          <w:rFonts w:ascii="Times New Roman" w:hAnsi="Times New Roman" w:eastAsia="黑体" w:cs="Times New Roman"/>
          <w:color w:val="auto"/>
          <w:szCs w:val="21"/>
          <w:highlight w:val="none"/>
        </w:rPr>
      </w:pPr>
      <w:r>
        <w:rPr>
          <w:rFonts w:ascii="Times New Roman" w:hAnsi="Times New Roman" w:eastAsia="黑体" w:cs="Times New Roman"/>
          <w:color w:val="auto"/>
          <w:szCs w:val="21"/>
          <w:highlight w:val="none"/>
        </w:rPr>
        <w:t>3 判定规则</w:t>
      </w:r>
    </w:p>
    <w:p>
      <w:pPr>
        <w:snapToGrid w:val="0"/>
        <w:spacing w:line="440" w:lineRule="exact"/>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3.1依据标准</w:t>
      </w:r>
    </w:p>
    <w:p>
      <w:pPr>
        <w:snapToGrid w:val="0"/>
        <w:spacing w:line="440" w:lineRule="exact"/>
        <w:ind w:firstLine="420" w:firstLineChars="200"/>
        <w:rPr>
          <w:rFonts w:hint="eastAsia"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GB 15084-20</w:t>
      </w:r>
      <w:r>
        <w:rPr>
          <w:rFonts w:hint="default" w:ascii="Times New Roman" w:hAnsi="Times New Roman" w:eastAsia="宋体" w:cs="Times New Roman"/>
          <w:color w:val="auto"/>
          <w:szCs w:val="21"/>
          <w:highlight w:val="none"/>
          <w:lang w:val="en-US"/>
        </w:rPr>
        <w:t>22</w:t>
      </w:r>
      <w:r>
        <w:rPr>
          <w:rFonts w:hint="eastAsia" w:ascii="Times New Roman" w:hAnsi="Times New Roman" w:eastAsia="宋体" w:cs="Times New Roman"/>
          <w:color w:val="auto"/>
          <w:szCs w:val="21"/>
          <w:highlight w:val="none"/>
        </w:rPr>
        <w:t>《机动车辆 间接视野装置性能和安装要求》</w:t>
      </w:r>
    </w:p>
    <w:p>
      <w:pPr>
        <w:snapToGrid w:val="0"/>
        <w:spacing w:line="440" w:lineRule="exact"/>
        <w:ind w:firstLine="420" w:firstLineChars="200"/>
        <w:rPr>
          <w:rFonts w:hint="eastAsia"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相关的法律、行政法规、部门规章、规范性文件</w:t>
      </w:r>
    </w:p>
    <w:p>
      <w:pPr>
        <w:snapToGrid w:val="0"/>
        <w:spacing w:line="440" w:lineRule="exact"/>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现行有效的企业标准、团体标准、地方标准及产品明示质量要求</w:t>
      </w:r>
    </w:p>
    <w:p>
      <w:pPr>
        <w:snapToGrid w:val="0"/>
        <w:spacing w:line="440" w:lineRule="exact"/>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3.2判定原则</w:t>
      </w:r>
    </w:p>
    <w:p>
      <w:pPr>
        <w:snapToGrid w:val="0"/>
        <w:spacing w:line="440" w:lineRule="exact"/>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经检验，检验项目全部合格，判定为被抽查产品</w:t>
      </w:r>
      <w:r>
        <w:rPr>
          <w:rFonts w:hint="eastAsia" w:ascii="Times New Roman" w:hAnsi="Times New Roman" w:eastAsia="宋体" w:cs="Times New Roman"/>
          <w:color w:val="auto"/>
          <w:szCs w:val="21"/>
          <w:highlight w:val="none"/>
        </w:rPr>
        <w:t>所检项目未发现不</w:t>
      </w:r>
      <w:r>
        <w:rPr>
          <w:rFonts w:ascii="Times New Roman" w:hAnsi="Times New Roman" w:eastAsia="宋体" w:cs="Times New Roman"/>
          <w:color w:val="auto"/>
          <w:szCs w:val="21"/>
          <w:highlight w:val="none"/>
        </w:rPr>
        <w:t>合格；检验项目中任一项或一项以上不合格，判定为被抽查产品不合格。</w:t>
      </w:r>
    </w:p>
    <w:p>
      <w:pPr>
        <w:snapToGrid w:val="0"/>
        <w:spacing w:line="440" w:lineRule="exact"/>
        <w:ind w:firstLine="417" w:firstLineChars="199"/>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若被检产品明示的质量要求高于本细则中检验项目依据的标准要求时，应按被检产品明示的质量要求判定。</w:t>
      </w:r>
    </w:p>
    <w:p>
      <w:pPr>
        <w:snapToGrid w:val="0"/>
        <w:spacing w:line="440" w:lineRule="exact"/>
        <w:ind w:firstLine="417" w:firstLineChars="199"/>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若被检产品明示的质量要求低于本细则中检验项目依据的强制性标准要求时，应按照强制性标准要求判定。</w:t>
      </w:r>
    </w:p>
    <w:p>
      <w:pPr>
        <w:snapToGrid w:val="0"/>
        <w:spacing w:line="440" w:lineRule="exact"/>
        <w:ind w:firstLine="417" w:firstLineChars="199"/>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若被检产品明示的质量要求缺少本细则中检验项目依据的强制性标准要求时，应按照强制性标准要求判定。</w:t>
      </w:r>
    </w:p>
    <w:p>
      <w:pPr>
        <w:snapToGrid w:val="0"/>
        <w:spacing w:line="440" w:lineRule="exact"/>
        <w:ind w:firstLine="417" w:firstLineChars="199"/>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若被检产品明示的质量要求缺少本细则中检验项目依据的推荐性标准要求时，该项目不参与判定。</w:t>
      </w:r>
    </w:p>
    <w:p>
      <w:pPr>
        <w:snapToGrid w:val="0"/>
        <w:spacing w:line="440" w:lineRule="exact"/>
        <w:ind w:firstLine="417" w:firstLineChars="199"/>
        <w:rPr>
          <w:rFonts w:ascii="Times New Roman" w:hAnsi="Times New Roman" w:eastAsia="宋体" w:cs="Times New Roman"/>
          <w:color w:val="auto"/>
          <w:szCs w:val="21"/>
          <w:highlight w:val="none"/>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2MDYyNGRlODI3MjMxZWZjYzFiNTY0ZTA1Y2U1NDgifQ=="/>
  </w:docVars>
  <w:rsids>
    <w:rsidRoot w:val="00000000"/>
    <w:rsid w:val="0D1644B7"/>
    <w:rsid w:val="1766104D"/>
    <w:rsid w:val="1ABC669E"/>
    <w:rsid w:val="2AA8279A"/>
    <w:rsid w:val="363E2205"/>
    <w:rsid w:val="3E5A1BA6"/>
    <w:rsid w:val="45286486"/>
    <w:rsid w:val="48AE40A6"/>
    <w:rsid w:val="49D7054F"/>
    <w:rsid w:val="55F11C5A"/>
    <w:rsid w:val="56727C03"/>
    <w:rsid w:val="5BEC7E8A"/>
    <w:rsid w:val="5F9920D6"/>
    <w:rsid w:val="5FF13CC0"/>
    <w:rsid w:val="6F8561D3"/>
    <w:rsid w:val="72E04AF9"/>
    <w:rsid w:val="7BE424D4"/>
    <w:rsid w:val="7C3B04AB"/>
    <w:rsid w:val="7D2A03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4">
    <w:name w:val="Default Paragraph Font"/>
    <w:autoRedefine/>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2024-04-09T11:09:00Z</dcterms:created>
  <dc:creator>Administrator</dc:creator>
  <cp:lastModifiedBy>Nyy</cp:lastModifiedBy>
  <dcterms:modified xsi:type="dcterms:W3CDTF">2024-04-18T08:23:15Z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B40210B4B7FF4E4FBC0A26D2EE76C9BE_12</vt:lpwstr>
  </property>
</Properties>
</file>