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eastAsia="方正小标宋简体"/>
          <w:color w:val="000000"/>
          <w:sz w:val="32"/>
          <w:szCs w:val="32"/>
        </w:rPr>
      </w:pPr>
      <w:r>
        <w:rPr>
          <w:rFonts w:hint="eastAsia" w:ascii="Times New Roman" w:hAnsi="Times New Roman" w:eastAsia="方正小标宋简体" w:cs="Times New Roman"/>
          <w:color w:val="000000"/>
          <w:sz w:val="32"/>
          <w:szCs w:val="32"/>
        </w:rPr>
        <w:t>广州市市场监督管理局</w:t>
      </w:r>
      <w:r>
        <w:rPr>
          <w:rFonts w:hint="eastAsia" w:ascii="Times New Roman" w:hAnsi="Times New Roman" w:eastAsia="方正小标宋简体" w:cs="Times New Roman"/>
          <w:color w:val="000000"/>
          <w:sz w:val="32"/>
          <w:szCs w:val="32"/>
          <w:lang w:val="en-US" w:eastAsia="zh-CN"/>
        </w:rPr>
        <w:t>柴油发电机组</w:t>
      </w:r>
      <w:r>
        <w:rPr>
          <w:rFonts w:hint="eastAsia" w:eastAsia="方正小标宋简体"/>
          <w:color w:val="000000"/>
          <w:sz w:val="32"/>
          <w:szCs w:val="32"/>
        </w:rPr>
        <w:t>产品</w:t>
      </w:r>
    </w:p>
    <w:p>
      <w:pPr>
        <w:spacing w:line="440" w:lineRule="exact"/>
        <w:jc w:val="center"/>
        <w:rPr>
          <w:rFonts w:eastAsia="方正小标宋简体"/>
          <w:color w:val="000000"/>
          <w:sz w:val="32"/>
          <w:szCs w:val="32"/>
        </w:rPr>
      </w:pPr>
      <w:r>
        <w:rPr>
          <w:rFonts w:hint="eastAsia" w:eastAsia="方正小标宋简体"/>
          <w:color w:val="000000"/>
          <w:sz w:val="32"/>
          <w:szCs w:val="32"/>
        </w:rPr>
        <w:t>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（2024年</w:t>
      </w:r>
      <w:r>
        <w:rPr>
          <w:rFonts w:hint="eastAsia" w:eastAsia="方正小标宋简体"/>
          <w:color w:val="000000"/>
          <w:sz w:val="32"/>
          <w:szCs w:val="32"/>
          <w:lang w:val="en-US" w:eastAsia="zh-CN"/>
        </w:rPr>
        <w:t>4月修订</w:t>
      </w:r>
      <w:r>
        <w:rPr>
          <w:rFonts w:eastAsia="方正小标宋简体"/>
          <w:color w:val="000000"/>
          <w:sz w:val="32"/>
          <w:szCs w:val="32"/>
        </w:rPr>
        <w:t>版）</w:t>
      </w:r>
      <w:bookmarkStart w:id="0" w:name="_GoBack"/>
      <w:bookmarkEnd w:id="0"/>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szCs w:val="21"/>
        </w:rPr>
        <w:t>每批次产品抽取样品</w:t>
      </w:r>
      <w:r>
        <w:rPr>
          <w:rFonts w:hint="eastAsia"/>
          <w:szCs w:val="21"/>
          <w:lang w:val="en-US" w:eastAsia="zh-CN"/>
        </w:rPr>
        <w:t>2</w:t>
      </w:r>
      <w:r>
        <w:rPr>
          <w:szCs w:val="21"/>
        </w:rPr>
        <w:t>台，其中</w:t>
      </w:r>
      <w:r>
        <w:rPr>
          <w:rFonts w:hint="eastAsia"/>
          <w:szCs w:val="21"/>
          <w:lang w:val="en-US" w:eastAsia="zh-CN"/>
        </w:rPr>
        <w:t>1</w:t>
      </w:r>
      <w:r>
        <w:rPr>
          <w:szCs w:val="21"/>
        </w:rPr>
        <w:t>台作为检验样品，1台作为备用样品。</w:t>
      </w:r>
    </w:p>
    <w:p>
      <w:pPr>
        <w:snapToGrid w:val="0"/>
        <w:spacing w:line="440" w:lineRule="exact"/>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hint="eastAsia" w:ascii="宋体" w:hAnsi="宋体"/>
          <w:color w:val="000000"/>
          <w:szCs w:val="21"/>
        </w:rPr>
      </w:pP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0"/>
        <w:gridCol w:w="3584"/>
        <w:gridCol w:w="2657"/>
        <w:gridCol w:w="2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blHeader/>
          <w:jc w:val="center"/>
        </w:trPr>
        <w:tc>
          <w:tcPr>
            <w:tcW w:w="240" w:type="pct"/>
            <w:noWrap w:val="0"/>
            <w:vAlign w:val="center"/>
          </w:tcPr>
          <w:p>
            <w:pPr>
              <w:snapToGrid w:val="0"/>
              <w:spacing w:line="440" w:lineRule="exact"/>
              <w:jc w:val="center"/>
              <w:rPr>
                <w:szCs w:val="21"/>
              </w:rPr>
            </w:pPr>
            <w:r>
              <w:rPr>
                <w:szCs w:val="21"/>
              </w:rPr>
              <w:t>序号</w:t>
            </w:r>
          </w:p>
        </w:tc>
        <w:tc>
          <w:tcPr>
            <w:tcW w:w="1955" w:type="pct"/>
            <w:noWrap w:val="0"/>
            <w:vAlign w:val="center"/>
          </w:tcPr>
          <w:p>
            <w:pPr>
              <w:snapToGrid w:val="0"/>
              <w:spacing w:line="440" w:lineRule="exact"/>
              <w:jc w:val="center"/>
              <w:rPr>
                <w:szCs w:val="21"/>
              </w:rPr>
            </w:pPr>
            <w:r>
              <w:rPr>
                <w:szCs w:val="21"/>
              </w:rPr>
              <w:t>检验项目</w:t>
            </w:r>
          </w:p>
        </w:tc>
        <w:tc>
          <w:tcPr>
            <w:tcW w:w="1449" w:type="pct"/>
            <w:noWrap w:val="0"/>
            <w:vAlign w:val="center"/>
          </w:tcPr>
          <w:p>
            <w:pPr>
              <w:snapToGrid w:val="0"/>
              <w:spacing w:line="440" w:lineRule="exact"/>
              <w:jc w:val="center"/>
              <w:rPr>
                <w:rFonts w:hint="eastAsia" w:eastAsia="宋体"/>
                <w:szCs w:val="21"/>
                <w:lang w:eastAsia="zh-CN"/>
              </w:rPr>
            </w:pPr>
            <w:r>
              <w:rPr>
                <w:szCs w:val="21"/>
              </w:rPr>
              <w:t>检验</w:t>
            </w:r>
            <w:r>
              <w:rPr>
                <w:rFonts w:hint="eastAsia"/>
                <w:szCs w:val="21"/>
                <w:lang w:val="en-US" w:eastAsia="zh-CN"/>
              </w:rPr>
              <w:t>依据</w:t>
            </w:r>
          </w:p>
        </w:tc>
        <w:tc>
          <w:tcPr>
            <w:tcW w:w="1354" w:type="pct"/>
            <w:noWrap w:val="0"/>
            <w:vAlign w:val="center"/>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szCs w:val="21"/>
              </w:rPr>
            </w:pPr>
            <w:r>
              <w:rPr>
                <w:szCs w:val="21"/>
              </w:rPr>
              <w:t>1</w:t>
            </w:r>
          </w:p>
        </w:tc>
        <w:tc>
          <w:tcPr>
            <w:tcW w:w="1955" w:type="pct"/>
            <w:noWrap w:val="0"/>
            <w:vAlign w:val="center"/>
          </w:tcPr>
          <w:p>
            <w:pPr>
              <w:jc w:val="center"/>
              <w:rPr>
                <w:spacing w:val="-12"/>
                <w:kern w:val="0"/>
                <w:szCs w:val="21"/>
              </w:rPr>
            </w:pPr>
            <w:r>
              <w:rPr>
                <w:rFonts w:ascii="Times New Roman" w:cs="Times New Roman" w:hAnsiTheme="minorEastAsia"/>
                <w:szCs w:val="21"/>
              </w:rPr>
              <w:t>检查外观</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szCs w:val="21"/>
                <w:lang w:val="en-US" w:eastAsia="zh-CN"/>
              </w:rPr>
            </w:pPr>
            <w:r>
              <w:rPr>
                <w:rFonts w:hint="eastAsia"/>
                <w:szCs w:val="21"/>
                <w:lang w:val="en-US" w:eastAsia="zh-CN"/>
              </w:rPr>
              <w:t>2</w:t>
            </w:r>
          </w:p>
        </w:tc>
        <w:tc>
          <w:tcPr>
            <w:tcW w:w="1955" w:type="pct"/>
            <w:noWrap w:val="0"/>
            <w:vAlign w:val="center"/>
          </w:tcPr>
          <w:p>
            <w:pPr>
              <w:jc w:val="center"/>
              <w:rPr>
                <w:rFonts w:hint="eastAsia" w:ascii="宋体" w:hAnsi="宋体" w:eastAsia="宋体"/>
                <w:sz w:val="21"/>
                <w:szCs w:val="21"/>
              </w:rPr>
            </w:pPr>
            <w:r>
              <w:rPr>
                <w:rFonts w:ascii="Times New Roman" w:cs="Times New Roman" w:hAnsiTheme="minorEastAsia"/>
                <w:szCs w:val="21"/>
              </w:rPr>
              <w:t>检查成套性</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szCs w:val="21"/>
                <w:lang w:val="en-US" w:eastAsia="zh-CN"/>
              </w:rPr>
            </w:pPr>
            <w:r>
              <w:rPr>
                <w:rFonts w:hint="eastAsia"/>
                <w:szCs w:val="21"/>
                <w:lang w:val="en-US" w:eastAsia="zh-CN"/>
              </w:rPr>
              <w:t>3</w:t>
            </w:r>
          </w:p>
        </w:tc>
        <w:tc>
          <w:tcPr>
            <w:tcW w:w="1955" w:type="pct"/>
            <w:noWrap w:val="0"/>
            <w:vAlign w:val="center"/>
          </w:tcPr>
          <w:p>
            <w:pPr>
              <w:jc w:val="center"/>
              <w:rPr>
                <w:rFonts w:hint="eastAsia" w:ascii="宋体" w:hAnsi="宋体" w:eastAsia="宋体"/>
                <w:sz w:val="21"/>
                <w:szCs w:val="21"/>
              </w:rPr>
            </w:pPr>
            <w:r>
              <w:rPr>
                <w:rFonts w:ascii="Times New Roman" w:cs="Times New Roman" w:hAnsiTheme="minorEastAsia"/>
                <w:szCs w:val="21"/>
              </w:rPr>
              <w:t>检查标志和包装</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4</w:t>
            </w:r>
          </w:p>
        </w:tc>
        <w:tc>
          <w:tcPr>
            <w:tcW w:w="1955" w:type="pct"/>
            <w:noWrap w:val="0"/>
            <w:vAlign w:val="center"/>
          </w:tcPr>
          <w:p>
            <w:pPr>
              <w:jc w:val="center"/>
              <w:rPr>
                <w:spacing w:val="-12"/>
                <w:kern w:val="0"/>
                <w:sz w:val="21"/>
                <w:szCs w:val="21"/>
                <w:lang w:val="en-US" w:eastAsia="zh-CN" w:bidi="ar-SA"/>
              </w:rPr>
            </w:pPr>
            <w:r>
              <w:rPr>
                <w:rFonts w:ascii="Times New Roman" w:cs="Times New Roman" w:hAnsiTheme="minorEastAsia"/>
                <w:szCs w:val="21"/>
              </w:rPr>
              <w:t>测量绝缘电阻</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5</w:t>
            </w:r>
          </w:p>
        </w:tc>
        <w:tc>
          <w:tcPr>
            <w:tcW w:w="1955" w:type="pct"/>
            <w:noWrap w:val="0"/>
            <w:vAlign w:val="center"/>
          </w:tcPr>
          <w:p>
            <w:pPr>
              <w:jc w:val="center"/>
              <w:rPr>
                <w:spacing w:val="-12"/>
                <w:kern w:val="0"/>
                <w:szCs w:val="21"/>
              </w:rPr>
            </w:pPr>
            <w:r>
              <w:rPr>
                <w:rFonts w:ascii="Times New Roman" w:cs="Times New Roman" w:hAnsiTheme="minorEastAsia"/>
                <w:szCs w:val="21"/>
              </w:rPr>
              <w:t>检查常温启动性能</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6</w:t>
            </w:r>
          </w:p>
        </w:tc>
        <w:tc>
          <w:tcPr>
            <w:tcW w:w="1955" w:type="pct"/>
            <w:noWrap w:val="0"/>
            <w:vAlign w:val="center"/>
          </w:tcPr>
          <w:p>
            <w:pPr>
              <w:jc w:val="center"/>
              <w:rPr>
                <w:szCs w:val="21"/>
              </w:rPr>
            </w:pPr>
            <w:r>
              <w:rPr>
                <w:rFonts w:ascii="Times New Roman" w:cs="Times New Roman" w:hAnsiTheme="minorEastAsia"/>
                <w:szCs w:val="21"/>
              </w:rPr>
              <w:t>检查相序</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7</w:t>
            </w:r>
          </w:p>
        </w:tc>
        <w:tc>
          <w:tcPr>
            <w:tcW w:w="1955" w:type="pct"/>
            <w:noWrap w:val="0"/>
            <w:vAlign w:val="center"/>
          </w:tcPr>
          <w:p>
            <w:pPr>
              <w:jc w:val="center"/>
              <w:rPr>
                <w:kern w:val="0"/>
                <w:szCs w:val="21"/>
              </w:rPr>
            </w:pPr>
            <w:r>
              <w:rPr>
                <w:rFonts w:ascii="Times New Roman" w:cs="Times New Roman" w:hAnsiTheme="minorEastAsia"/>
                <w:szCs w:val="21"/>
              </w:rPr>
              <w:t>检查控制屏各指示装置</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8</w:t>
            </w:r>
          </w:p>
        </w:tc>
        <w:tc>
          <w:tcPr>
            <w:tcW w:w="1955" w:type="pct"/>
            <w:noWrap w:val="0"/>
            <w:vAlign w:val="center"/>
          </w:tcPr>
          <w:p>
            <w:pPr>
              <w:jc w:val="center"/>
              <w:rPr>
                <w:szCs w:val="21"/>
              </w:rPr>
            </w:pPr>
            <w:r>
              <w:rPr>
                <w:rFonts w:ascii="Times New Roman" w:cs="Times New Roman" w:hAnsiTheme="minorEastAsia"/>
                <w:color w:val="000000" w:themeColor="text1"/>
                <w:szCs w:val="21"/>
                <w14:textFill>
                  <w14:solidFill>
                    <w14:schemeClr w14:val="tx1"/>
                  </w14:solidFill>
                </w14:textFill>
              </w:rPr>
              <w:t>测量</w:t>
            </w:r>
            <w:r>
              <w:rPr>
                <w:rFonts w:hint="eastAsia" w:ascii="Times New Roman" w:cs="Times New Roman" w:hAnsiTheme="minorEastAsia"/>
                <w:color w:val="000000" w:themeColor="text1"/>
                <w:szCs w:val="21"/>
                <w14:textFill>
                  <w14:solidFill>
                    <w14:schemeClr w14:val="tx1"/>
                  </w14:solidFill>
                </w14:textFill>
              </w:rPr>
              <w:t>频率降</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eastAsia" w:eastAsia="宋体"/>
                <w:kern w:val="2"/>
                <w:sz w:val="21"/>
                <w:szCs w:val="21"/>
                <w:lang w:val="en-US" w:eastAsia="zh-CN" w:bidi="ar-SA"/>
              </w:rPr>
            </w:pPr>
            <w:r>
              <w:rPr>
                <w:rFonts w:hint="eastAsia"/>
                <w:szCs w:val="21"/>
                <w:lang w:val="en-US" w:eastAsia="zh-CN"/>
              </w:rPr>
              <w:t>9</w:t>
            </w:r>
          </w:p>
        </w:tc>
        <w:tc>
          <w:tcPr>
            <w:tcW w:w="1955" w:type="pct"/>
            <w:noWrap w:val="0"/>
            <w:vAlign w:val="center"/>
          </w:tcPr>
          <w:p>
            <w:pPr>
              <w:jc w:val="center"/>
              <w:rPr>
                <w:szCs w:val="21"/>
              </w:rPr>
            </w:pPr>
            <w:r>
              <w:rPr>
                <w:rFonts w:ascii="Times New Roman" w:cs="Times New Roman" w:hAnsiTheme="minorEastAsia"/>
                <w:szCs w:val="21"/>
              </w:rPr>
              <w:t>测量稳态电压偏差</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 w:type="pct"/>
            <w:noWrap w:val="0"/>
            <w:vAlign w:val="center"/>
          </w:tcPr>
          <w:p>
            <w:pPr>
              <w:snapToGrid w:val="0"/>
              <w:jc w:val="center"/>
              <w:rPr>
                <w:rFonts w:hint="default" w:eastAsia="宋体"/>
                <w:szCs w:val="21"/>
                <w:lang w:val="en-US" w:eastAsia="zh-CN"/>
              </w:rPr>
            </w:pPr>
            <w:r>
              <w:rPr>
                <w:rFonts w:hint="eastAsia"/>
                <w:szCs w:val="21"/>
                <w:lang w:val="en-US" w:eastAsia="zh-CN"/>
              </w:rPr>
              <w:t>10</w:t>
            </w:r>
          </w:p>
        </w:tc>
        <w:tc>
          <w:tcPr>
            <w:tcW w:w="1955" w:type="pct"/>
            <w:noWrap w:val="0"/>
            <w:vAlign w:val="center"/>
          </w:tcPr>
          <w:p>
            <w:pPr>
              <w:jc w:val="center"/>
              <w:rPr>
                <w:szCs w:val="21"/>
              </w:rPr>
            </w:pPr>
            <w:r>
              <w:rPr>
                <w:rFonts w:hint="eastAsia" w:ascii="Times New Roman" w:cs="Times New Roman" w:hAnsiTheme="minorEastAsia"/>
                <w:szCs w:val="21"/>
              </w:rPr>
              <w:t>测量电压不平衡度</w:t>
            </w:r>
          </w:p>
        </w:tc>
        <w:tc>
          <w:tcPr>
            <w:tcW w:w="1449" w:type="pct"/>
            <w:noWrap w:val="0"/>
            <w:vAlign w:val="center"/>
          </w:tcPr>
          <w:p>
            <w:pPr>
              <w:jc w:val="center"/>
              <w:rPr>
                <w:rFonts w:ascii="Times New Roman" w:hAnsi="Times New Roman" w:eastAsia="宋体" w:cs="Times New Roman"/>
                <w:kern w:val="2"/>
                <w:sz w:val="21"/>
                <w:szCs w:val="21"/>
                <w:lang w:val="en-US" w:eastAsia="zh-CN" w:bidi="ar-SA"/>
              </w:rPr>
            </w:pPr>
            <w:r>
              <w:rPr>
                <w:rFonts w:ascii="Times New Roman" w:hAnsi="Times New Roman" w:cs="Times New Roman"/>
                <w:szCs w:val="21"/>
              </w:rPr>
              <w:t>JB/T 10303-20</w:t>
            </w:r>
            <w:r>
              <w:rPr>
                <w:rFonts w:hint="eastAsia" w:ascii="Times New Roman" w:hAnsi="Times New Roman" w:cs="Times New Roman"/>
                <w:szCs w:val="21"/>
              </w:rPr>
              <w:t>20</w:t>
            </w:r>
          </w:p>
        </w:tc>
        <w:tc>
          <w:tcPr>
            <w:tcW w:w="1354" w:type="pct"/>
            <w:noWrap w:val="0"/>
            <w:vAlign w:val="center"/>
          </w:tcPr>
          <w:p>
            <w:pPr>
              <w:jc w:val="center"/>
              <w:rPr>
                <w:rFonts w:hint="default" w:eastAsia="宋体"/>
                <w:szCs w:val="21"/>
                <w:lang w:val="en-US" w:eastAsia="zh-CN"/>
              </w:rPr>
            </w:pPr>
            <w:r>
              <w:rPr>
                <w:rFonts w:ascii="Times New Roman" w:hAnsi="Times New Roman" w:cs="Times New Roman"/>
                <w:szCs w:val="21"/>
              </w:rPr>
              <w:t>JB/T 10303-20</w:t>
            </w:r>
            <w:r>
              <w:rPr>
                <w:rFonts w:hint="eastAsia" w:ascii="Times New Roman" w:hAnsi="Times New Roman" w:cs="Times New Roman"/>
                <w:szCs w:val="21"/>
              </w:rPr>
              <w:t>20</w:t>
            </w:r>
            <w:r>
              <w:rPr>
                <w:rFonts w:hint="eastAsia" w:cs="Times New Roman"/>
                <w:szCs w:val="21"/>
                <w:lang w:val="en-US" w:eastAsia="zh-CN"/>
              </w:rPr>
              <w:t xml:space="preserve">  6.3.23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noWrap w:val="0"/>
            <w:vAlign w:val="center"/>
          </w:tcPr>
          <w:p>
            <w:pPr>
              <w:jc w:val="both"/>
              <w:rPr>
                <w:rFonts w:ascii="Times New Roman" w:cs="Times New Roman" w:hAnsiTheme="minorEastAsia"/>
                <w:szCs w:val="21"/>
              </w:rPr>
            </w:pPr>
            <w:r>
              <w:rPr>
                <w:rFonts w:hint="eastAsia" w:ascii="Times New Roman" w:cs="Times New Roman" w:hAnsiTheme="minorEastAsia"/>
                <w:szCs w:val="21"/>
              </w:rPr>
              <w:t>注：检查外观、检查成套性、检查标志和包装属于标签项目</w:t>
            </w:r>
          </w:p>
        </w:tc>
      </w:tr>
    </w:tbl>
    <w:p>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rFonts w:hint="eastAsia" w:ascii="宋体" w:hAnsi="宋体"/>
          <w:color w:val="000000"/>
          <w:szCs w:val="21"/>
        </w:rPr>
      </w:pPr>
    </w:p>
    <w:p>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Times New Roman" w:hAnsi="Times New Roman" w:eastAsia="宋体" w:cs="Times New Roman"/>
          <w:szCs w:val="21"/>
        </w:rPr>
        <w:t>3.1</w:t>
      </w:r>
      <w:r>
        <w:rPr>
          <w:rFonts w:hint="eastAsia" w:ascii="宋体" w:hAnsi="宋体"/>
          <w:color w:val="000000"/>
          <w:szCs w:val="21"/>
        </w:rPr>
        <w:t>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Times New Roman" w:hAnsi="Times New Roman" w:cs="Times New Roman"/>
          <w:color w:val="000000"/>
          <w:szCs w:val="21"/>
        </w:rPr>
        <w:t>J</w:t>
      </w:r>
      <w:r>
        <w:rPr>
          <w:rFonts w:ascii="Times New Roman" w:hAnsi="Times New Roman" w:cs="Times New Roman"/>
          <w:color w:val="000000"/>
          <w:szCs w:val="21"/>
        </w:rPr>
        <w:t>B/T</w:t>
      </w:r>
      <w:r>
        <w:rPr>
          <w:rFonts w:hint="eastAsia" w:ascii="Times New Roman" w:hAnsi="Times New Roman" w:cs="Times New Roman"/>
          <w:color w:val="000000"/>
          <w:szCs w:val="21"/>
        </w:rPr>
        <w:t xml:space="preserve"> 10303-2020《工频柴油发电机组技术条件》</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olor w:val="000000"/>
          <w:szCs w:val="21"/>
          <w:lang w:eastAsia="zh-CN"/>
        </w:rPr>
      </w:pPr>
      <w:r>
        <w:rPr>
          <w:rFonts w:hint="eastAsia" w:ascii="宋体" w:hAnsi="宋体"/>
          <w:color w:val="000000"/>
          <w:szCs w:val="21"/>
        </w:rPr>
        <w:t>现行有效的企业标准、团体标准、</w:t>
      </w:r>
      <w:r>
        <w:rPr>
          <w:rFonts w:ascii="Times New Roman" w:hAnsi="Times New Roman" w:cs="Times New Roman"/>
          <w:color w:val="000000"/>
          <w:szCs w:val="21"/>
        </w:rPr>
        <w:t>地方标准</w:t>
      </w:r>
      <w:r>
        <w:rPr>
          <w:rFonts w:hint="eastAsia" w:ascii="Times New Roman" w:hAnsi="Times New Roman" w:cs="Times New Roman"/>
          <w:color w:val="000000"/>
          <w:szCs w:val="21"/>
        </w:rPr>
        <w:t>、</w:t>
      </w:r>
      <w:r>
        <w:rPr>
          <w:rFonts w:ascii="Times New Roman" w:hAnsi="Times New Roman" w:cs="Times New Roman"/>
          <w:color w:val="000000"/>
          <w:szCs w:val="21"/>
        </w:rPr>
        <w:t>产品明示质量要求</w:t>
      </w:r>
      <w:r>
        <w:rPr>
          <w:rFonts w:hint="eastAsia" w:ascii="Times New Roman" w:hAnsi="Times New Roman" w:cs="Times New Roman"/>
          <w:color w:val="000000"/>
          <w:szCs w:val="21"/>
        </w:rPr>
        <w:t>及</w:t>
      </w:r>
      <w:r>
        <w:rPr>
          <w:rFonts w:hint="eastAsia" w:ascii="宋体" w:hAnsi="宋体"/>
          <w:szCs w:val="21"/>
        </w:rPr>
        <w:t>发电机配套技术资料</w:t>
      </w:r>
      <w:r>
        <w:rPr>
          <w:rFonts w:hint="eastAsia" w:ascii="宋体" w:hAnsi="宋体"/>
          <w:szCs w:val="21"/>
          <w:lang w:eastAsia="zh-CN"/>
        </w:rPr>
        <w:t>。</w:t>
      </w:r>
    </w:p>
    <w:p>
      <w:pPr>
        <w:snapToGrid w:val="0"/>
        <w:spacing w:line="440" w:lineRule="exact"/>
        <w:rPr>
          <w:rFonts w:ascii="宋体" w:hAnsi="宋体"/>
          <w:color w:val="000000"/>
          <w:szCs w:val="21"/>
        </w:rPr>
      </w:pPr>
      <w:r>
        <w:rPr>
          <w:rFonts w:hint="eastAsia" w:ascii="Times New Roman" w:hAnsi="Times New Roman" w:eastAsia="宋体" w:cs="Times New Roman"/>
          <w:szCs w:val="21"/>
        </w:rPr>
        <w:t>3.2</w:t>
      </w:r>
      <w:r>
        <w:rPr>
          <w:rFonts w:hint="eastAsia" w:ascii="宋体" w:hAnsi="宋体"/>
          <w:color w:val="000000"/>
          <w:szCs w:val="21"/>
        </w:rPr>
        <w:t>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s="Times New Roman"/>
          <w:color w:val="000000"/>
          <w:szCs w:val="21"/>
        </w:rPr>
      </w:pPr>
      <w:r>
        <w:rPr>
          <w:rFonts w:hint="default" w:ascii="Times New Roman" w:hAnsi="Times New Roman" w:cs="Times New Roman"/>
          <w:color w:val="000000"/>
          <w:szCs w:val="21"/>
          <w:lang w:val="en-US" w:eastAsia="zh-CN"/>
        </w:rPr>
        <w:t>3.2.1</w:t>
      </w:r>
      <w:r>
        <w:rPr>
          <w:rFonts w:hint="eastAsia" w:ascii="宋体" w:hAnsi="宋体" w:cs="Times New Roman"/>
          <w:color w:val="000000"/>
          <w:szCs w:val="21"/>
        </w:rPr>
        <w:t>标签判定原则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s="Times New Roman"/>
          <w:color w:val="000000"/>
          <w:szCs w:val="21"/>
        </w:rPr>
      </w:pPr>
      <w:r>
        <w:rPr>
          <w:rFonts w:hint="eastAsia" w:ascii="宋体" w:hAnsi="宋体" w:cs="Times New Roman"/>
          <w:color w:val="000000"/>
          <w:szCs w:val="21"/>
        </w:rPr>
        <w:t>所检样品标签存在标准中明确要求标出（提供）的任意一种或一种以上信息（配件）或标志（配件）缺失时，判定被抽查产品为标签不合格，反之，判定被抽查产品为标签未发现不合格。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s="Times New Roman"/>
          <w:color w:val="000000"/>
          <w:szCs w:val="21"/>
          <w:lang w:val="en-US" w:eastAsia="zh-CN"/>
        </w:rPr>
      </w:pPr>
      <w:r>
        <w:rPr>
          <w:rFonts w:hint="default" w:ascii="Times New Roman" w:hAnsi="Times New Roman" w:cs="Times New Roman"/>
          <w:color w:val="000000"/>
          <w:szCs w:val="21"/>
          <w:lang w:val="en-US" w:eastAsia="zh-CN"/>
        </w:rPr>
        <w:t>3.2.2</w:t>
      </w:r>
      <w:r>
        <w:rPr>
          <w:rFonts w:hint="eastAsia" w:ascii="宋体" w:hAnsi="宋体" w:cs="Times New Roman"/>
          <w:color w:val="000000"/>
          <w:szCs w:val="21"/>
          <w:lang w:val="en-US" w:eastAsia="zh-CN"/>
        </w:rPr>
        <w:t>实物质量判定原则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经检验，样品的实物质量检验项目全部合格，判定被抽查产品为实物质量未发现不合格。如其中任一项或一项以上指标不符合检验依据规定，判定被抽查产品为实物质量不合格。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3.2.3综合判定原则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经检验，所抽取样品实物质量合格时，综合判定被抽查产品为未发现不合格；经检验，所抽取样品实物质量不合格时，综合判定被抽查产品为不合格。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3.2.4其他应遵循的判定原则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r>
        <w:rPr>
          <w:rFonts w:ascii="Times New Roman" w:hAnsi="Times New Roman" w:cs="Times New Roman"/>
          <w:color w:val="000000"/>
          <w:szCs w:val="21"/>
        </w:rPr>
        <w:t>，但应在检验报告备注中进行说明</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r>
        <w:rPr>
          <w:rFonts w:ascii="Times New Roman" w:hAnsi="Times New Roman" w:cs="Times New Roman"/>
          <w:color w:val="000000"/>
          <w:szCs w:val="21"/>
        </w:rPr>
        <w:t>，但应在检验报告备注中进行说明</w:t>
      </w:r>
      <w:r>
        <w:rPr>
          <w:rFonts w:hint="eastAsia" w:ascii="宋体" w:hAnsi="宋体"/>
          <w:color w:val="000000"/>
          <w:szCs w:val="21"/>
        </w:rPr>
        <w:t>。</w:t>
      </w:r>
    </w:p>
    <w:p>
      <w:pPr>
        <w:snapToGrid w:val="0"/>
        <w:spacing w:line="440" w:lineRule="exact"/>
        <w:ind w:firstLine="417" w:firstLineChars="199"/>
        <w:rPr>
          <w:rFonts w:hint="eastAsia" w:ascii="宋体" w:hAnsi="宋体"/>
          <w:color w:val="000000"/>
          <w:szCs w:val="21"/>
        </w:rPr>
      </w:pPr>
    </w:p>
    <w:p>
      <w:pPr>
        <w:spacing w:line="440" w:lineRule="exact"/>
        <w:ind w:firstLine="420" w:firstLineChars="200"/>
        <w:rPr>
          <w:rFonts w:hint="eastAsia"/>
          <w:color w:val="FF0000"/>
          <w:szCs w:val="21"/>
        </w:rPr>
      </w:pPr>
    </w:p>
    <w:p>
      <w:pPr>
        <w:spacing w:line="440" w:lineRule="exact"/>
        <w:rPr>
          <w:rFonts w:hint="eastAsia" w:ascii="宋体" w:hAnsi="宋体"/>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2YmU2ODYyZjcxZWQwZjkyZmRmZDU3NDM0YzNmYzUifQ=="/>
  </w:docVars>
  <w:rsids>
    <w:rsidRoot w:val="00172A27"/>
    <w:rsid w:val="00051A44"/>
    <w:rsid w:val="00081CBD"/>
    <w:rsid w:val="000976DE"/>
    <w:rsid w:val="000C7F04"/>
    <w:rsid w:val="000E64EC"/>
    <w:rsid w:val="00123D1C"/>
    <w:rsid w:val="001809DD"/>
    <w:rsid w:val="001F7B4D"/>
    <w:rsid w:val="002248FC"/>
    <w:rsid w:val="00232530"/>
    <w:rsid w:val="00253624"/>
    <w:rsid w:val="00257D6A"/>
    <w:rsid w:val="002A4E85"/>
    <w:rsid w:val="002D7F8A"/>
    <w:rsid w:val="002E0D1D"/>
    <w:rsid w:val="002E3CBD"/>
    <w:rsid w:val="00314EA5"/>
    <w:rsid w:val="003203A3"/>
    <w:rsid w:val="00365CBE"/>
    <w:rsid w:val="003A7D30"/>
    <w:rsid w:val="003C388C"/>
    <w:rsid w:val="003C5CBC"/>
    <w:rsid w:val="003D09A1"/>
    <w:rsid w:val="003E61BF"/>
    <w:rsid w:val="004104AC"/>
    <w:rsid w:val="00445E86"/>
    <w:rsid w:val="0045434D"/>
    <w:rsid w:val="00474E04"/>
    <w:rsid w:val="004D0C5A"/>
    <w:rsid w:val="004D184C"/>
    <w:rsid w:val="004E1396"/>
    <w:rsid w:val="004E6C21"/>
    <w:rsid w:val="00563EBC"/>
    <w:rsid w:val="005C747C"/>
    <w:rsid w:val="006E1171"/>
    <w:rsid w:val="006F0971"/>
    <w:rsid w:val="00706A62"/>
    <w:rsid w:val="0072334C"/>
    <w:rsid w:val="007A4D3E"/>
    <w:rsid w:val="00895BEA"/>
    <w:rsid w:val="008A3497"/>
    <w:rsid w:val="00917A54"/>
    <w:rsid w:val="00A05840"/>
    <w:rsid w:val="00A23D98"/>
    <w:rsid w:val="00A43553"/>
    <w:rsid w:val="00A51A2A"/>
    <w:rsid w:val="00AB0E18"/>
    <w:rsid w:val="00AC5391"/>
    <w:rsid w:val="00B65F23"/>
    <w:rsid w:val="00BF2B8C"/>
    <w:rsid w:val="00C26074"/>
    <w:rsid w:val="00C83B0A"/>
    <w:rsid w:val="00CE1E0C"/>
    <w:rsid w:val="00CE277E"/>
    <w:rsid w:val="00D46665"/>
    <w:rsid w:val="00D56867"/>
    <w:rsid w:val="00D93CCA"/>
    <w:rsid w:val="00E02A7F"/>
    <w:rsid w:val="00E07880"/>
    <w:rsid w:val="00E533E6"/>
    <w:rsid w:val="00E82621"/>
    <w:rsid w:val="00F77C9A"/>
    <w:rsid w:val="00FB576C"/>
    <w:rsid w:val="00FD2AA6"/>
    <w:rsid w:val="00FE7E8A"/>
    <w:rsid w:val="09257A65"/>
    <w:rsid w:val="1A597193"/>
    <w:rsid w:val="1F1A2AAF"/>
    <w:rsid w:val="20971CA1"/>
    <w:rsid w:val="277A0467"/>
    <w:rsid w:val="3243388D"/>
    <w:rsid w:val="49557320"/>
    <w:rsid w:val="4FC76963"/>
    <w:rsid w:val="51A35652"/>
    <w:rsid w:val="52DA5D7A"/>
    <w:rsid w:val="5B791466"/>
    <w:rsid w:val="5E357437"/>
    <w:rsid w:val="6C3A2120"/>
    <w:rsid w:val="6D9A0970"/>
    <w:rsid w:val="6E841096"/>
    <w:rsid w:val="71022FDE"/>
    <w:rsid w:val="73736BA7"/>
    <w:rsid w:val="7752129A"/>
    <w:rsid w:val="7A1D0398"/>
    <w:rsid w:val="7A276AF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9">
    <w:name w:val="Default Paragraph Font"/>
    <w:semiHidden/>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annotation text"/>
    <w:basedOn w:val="1"/>
    <w:link w:val="12"/>
    <w:unhideWhenUsed/>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unhideWhenUsed/>
    <w:qFormat/>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批注文字 字符"/>
    <w:link w:val="3"/>
    <w:semiHidden/>
    <w:qFormat/>
    <w:uiPriority w:val="99"/>
    <w:rPr>
      <w:kern w:val="2"/>
      <w:sz w:val="21"/>
      <w:szCs w:val="24"/>
    </w:rPr>
  </w:style>
  <w:style w:type="character" w:customStyle="1" w:styleId="13">
    <w:name w:val="批注框文本 字符"/>
    <w:link w:val="4"/>
    <w:semiHidden/>
    <w:qFormat/>
    <w:uiPriority w:val="99"/>
    <w:rPr>
      <w:kern w:val="2"/>
      <w:sz w:val="18"/>
      <w:szCs w:val="18"/>
    </w:rPr>
  </w:style>
  <w:style w:type="character" w:customStyle="1" w:styleId="14">
    <w:name w:val="页脚 字符"/>
    <w:link w:val="5"/>
    <w:qFormat/>
    <w:uiPriority w:val="99"/>
    <w:rPr>
      <w:kern w:val="2"/>
      <w:sz w:val="18"/>
      <w:szCs w:val="18"/>
    </w:rPr>
  </w:style>
  <w:style w:type="character" w:customStyle="1" w:styleId="15">
    <w:name w:val="页眉 字符"/>
    <w:link w:val="6"/>
    <w:semiHidden/>
    <w:qFormat/>
    <w:uiPriority w:val="99"/>
    <w:rPr>
      <w:kern w:val="2"/>
      <w:sz w:val="18"/>
      <w:szCs w:val="18"/>
    </w:rPr>
  </w:style>
  <w:style w:type="character" w:customStyle="1" w:styleId="16">
    <w:name w:val="批注主题 字符"/>
    <w:link w:val="7"/>
    <w:semiHidden/>
    <w:qFormat/>
    <w:uiPriority w:val="99"/>
    <w:rPr>
      <w:b/>
      <w:bCs/>
      <w:kern w:val="2"/>
      <w:sz w:val="21"/>
      <w:szCs w:val="24"/>
    </w:rPr>
  </w:style>
  <w:style w:type="paragraph" w:customStyle="1" w:styleId="1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192</Words>
  <Characters>1100</Characters>
  <Lines>9</Lines>
  <Paragraphs>2</Paragraphs>
  <TotalTime>3</TotalTime>
  <ScaleCrop>false</ScaleCrop>
  <LinksUpToDate>false</LinksUpToDate>
  <CharactersWithSpaces>1290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2024-01-17T09:22:00Z</dcterms:created>
  <dc:creator>Legend User</dc:creator>
  <cp:lastModifiedBy>宋翊</cp:lastModifiedBy>
  <cp:lastPrinted>2019-12-05T07:53:00Z</cp:lastPrinted>
  <dcterms:modified xsi:type="dcterms:W3CDTF">2024-04-19T06:17:40Z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commondata">
    <vt:lpwstr>eyJoZGlkIjoiNDRmZDlmMjdkNDI1NjEzMmI2Y2M4ZTAxODQ5YmJlMTYifQ==</vt:lpwstr>
  </property>
  <property fmtid="{D5CDD505-2E9C-101B-9397-08002B2CF9AE}" pid="4" name="ICV">
    <vt:lpwstr>CE2C1F9F32344563A06E6990F660EFB6_13</vt:lpwstr>
  </property>
</Properties>
</file>