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广州市市场监督管理局齿轮油</w:t>
      </w:r>
      <w:r>
        <w:rPr>
          <w:rFonts w:ascii="Times New Roman" w:hAnsi="Times New Roman" w:eastAsia="方正小标宋简体" w:cs="Times New Roman"/>
          <w:color w:val="000000"/>
          <w:sz w:val="32"/>
          <w:szCs w:val="32"/>
        </w:rPr>
        <w:t>产品质量监督抽查实施细则</w:t>
      </w:r>
    </w:p>
    <w:p>
      <w:pPr>
        <w:adjustRightInd w:val="0"/>
        <w:snapToGrid w:val="0"/>
        <w:spacing w:line="360" w:lineRule="auto"/>
        <w:jc w:val="center"/>
        <w:rPr>
          <w:rFonts w:ascii="Times New Roman" w:hAnsi="Times New Roman" w:eastAsia="方正小标宋简体" w:cs="Times New Roman"/>
          <w:color w:val="000000"/>
          <w:sz w:val="28"/>
          <w:szCs w:val="28"/>
        </w:rPr>
      </w:pPr>
      <w:r>
        <w:rPr>
          <w:rFonts w:hint="eastAsia" w:ascii="Times New Roman" w:hAnsi="Times New Roman" w:eastAsia="方正小标宋简体" w:cs="Times New Roman"/>
          <w:color w:val="000000"/>
          <w:sz w:val="28"/>
          <w:szCs w:val="28"/>
        </w:rPr>
        <w:t>（2024年4月修订版）</w:t>
      </w:r>
    </w:p>
    <w:p>
      <w:pPr>
        <w:adjustRightInd w:val="0"/>
        <w:snapToGrid w:val="0"/>
        <w:spacing w:line="360" w:lineRule="auto"/>
        <w:rPr>
          <w:rFonts w:ascii="Times New Roman" w:hAnsi="Times New Roman" w:eastAsia="黑体" w:cs="Times New Roman"/>
          <w:szCs w:val="21"/>
        </w:rPr>
      </w:pP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spacing w:line="440" w:lineRule="exact"/>
        <w:ind w:firstLine="420" w:firstLineChars="200"/>
        <w:rPr>
          <w:szCs w:val="21"/>
        </w:rPr>
      </w:pPr>
      <w:r>
        <w:rPr>
          <w:szCs w:val="21"/>
        </w:rPr>
        <w:t>以随机抽样的方式在被抽样生产者、销售者的待销产品中抽取。</w:t>
      </w:r>
    </w:p>
    <w:p>
      <w:pPr>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rPr>
          <w:szCs w:val="21"/>
        </w:rPr>
        <w:t>每批次产品抽取不</w:t>
      </w:r>
      <w:bookmarkStart w:id="0" w:name="_Hlk67497541"/>
      <w:r>
        <w:rPr>
          <w:szCs w:val="21"/>
        </w:rPr>
        <w:t>少</w:t>
      </w:r>
      <w:bookmarkEnd w:id="0"/>
      <w:r>
        <w:rPr>
          <w:szCs w:val="21"/>
        </w:rPr>
        <w:t>于3L样品两份，其中1份作为检验样品，1份作为备用样品。</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p>
      <w:pPr>
        <w:adjustRightInd w:val="0"/>
        <w:snapToGrid w:val="0"/>
        <w:rPr>
          <w:rFonts w:cs="Times New Roman" w:asciiTheme="minorEastAsia" w:hAnsiTheme="minorEastAsia"/>
          <w:color w:val="000000"/>
          <w:szCs w:val="21"/>
        </w:rPr>
      </w:pPr>
      <w:r>
        <w:rPr>
          <w:rFonts w:hint="eastAsia" w:cs="Times New Roman" w:asciiTheme="minorEastAsia" w:hAnsiTheme="minorEastAsia"/>
          <w:color w:val="000000"/>
          <w:szCs w:val="21"/>
        </w:rPr>
        <w:t>2</w:t>
      </w:r>
      <w:r>
        <w:rPr>
          <w:rFonts w:cs="Times New Roman" w:asciiTheme="minorEastAsia" w:hAnsiTheme="minorEastAsia"/>
          <w:color w:val="000000"/>
          <w:szCs w:val="21"/>
        </w:rPr>
        <w:t xml:space="preserve">.1 </w:t>
      </w:r>
      <w:r>
        <w:rPr>
          <w:rFonts w:hint="eastAsia" w:asciiTheme="minorEastAsia" w:hAnsiTheme="minorEastAsia"/>
          <w:szCs w:val="21"/>
        </w:rPr>
        <w:t>重负荷车辆齿轮油(GL-5)</w:t>
      </w:r>
    </w:p>
    <w:tbl>
      <w:tblPr>
        <w:tblStyle w:val="6"/>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718"/>
        <w:gridCol w:w="4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718"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275"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w:t>
            </w:r>
          </w:p>
        </w:tc>
        <w:tc>
          <w:tcPr>
            <w:tcW w:w="4718" w:type="dxa"/>
            <w:vAlign w:val="center"/>
          </w:tcPr>
          <w:p>
            <w:pPr>
              <w:snapToGrid w:val="0"/>
              <w:jc w:val="center"/>
              <w:rPr>
                <w:rFonts w:asciiTheme="minorEastAsia" w:hAnsiTheme="minorEastAsia"/>
                <w:szCs w:val="21"/>
              </w:rPr>
            </w:pPr>
            <w:r>
              <w:rPr>
                <w:rFonts w:hint="eastAsia" w:asciiTheme="minorEastAsia" w:hAnsiTheme="minorEastAsia"/>
                <w:szCs w:val="21"/>
              </w:rPr>
              <w:t>运动黏度</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2</w:t>
            </w:r>
          </w:p>
        </w:tc>
        <w:tc>
          <w:tcPr>
            <w:tcW w:w="4718" w:type="dxa"/>
            <w:vAlign w:val="center"/>
          </w:tcPr>
          <w:p>
            <w:pPr>
              <w:adjustRightInd w:val="0"/>
              <w:snapToGrid w:val="0"/>
              <w:jc w:val="center"/>
              <w:rPr>
                <w:rFonts w:asciiTheme="minorEastAsia" w:hAnsiTheme="minorEastAsia"/>
                <w:szCs w:val="21"/>
              </w:rPr>
            </w:pPr>
            <w:r>
              <w:rPr>
                <w:rFonts w:hint="eastAsia" w:asciiTheme="minorEastAsia" w:hAnsiTheme="minorEastAsia"/>
                <w:szCs w:val="21"/>
              </w:rPr>
              <w:t>闪点（开口）</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3</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倾点</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4</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水分</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5</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机械杂质</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6</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泡沫性</w:t>
            </w:r>
          </w:p>
        </w:tc>
        <w:tc>
          <w:tcPr>
            <w:tcW w:w="4275" w:type="dxa"/>
            <w:vAlign w:val="center"/>
          </w:tcPr>
          <w:p>
            <w:pPr>
              <w:jc w:val="center"/>
              <w:rPr>
                <w:rFonts w:asciiTheme="minorEastAsia" w:hAnsiTheme="minorEastAsia"/>
                <w:szCs w:val="21"/>
              </w:rPr>
            </w:pPr>
            <w:r>
              <w:rPr>
                <w:rFonts w:asciiTheme="minorEastAsia" w:hAnsiTheme="minorEastAsia"/>
                <w:szCs w:val="21"/>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7</w:t>
            </w:r>
          </w:p>
        </w:tc>
        <w:tc>
          <w:tcPr>
            <w:tcW w:w="4718" w:type="dxa"/>
            <w:vAlign w:val="center"/>
          </w:tcPr>
          <w:p>
            <w:pPr>
              <w:snapToGrid w:val="0"/>
              <w:jc w:val="center"/>
              <w:rPr>
                <w:rFonts w:asciiTheme="minorEastAsia" w:hAnsiTheme="minorEastAsia"/>
                <w:szCs w:val="21"/>
              </w:rPr>
            </w:pPr>
            <w:r>
              <w:rPr>
                <w:rFonts w:hint="eastAsia" w:asciiTheme="minorEastAsia" w:hAnsiTheme="minorEastAsia"/>
                <w:szCs w:val="21"/>
              </w:rPr>
              <w:t>硫酸盐灰分</w:t>
            </w:r>
          </w:p>
        </w:tc>
        <w:tc>
          <w:tcPr>
            <w:tcW w:w="4275" w:type="dxa"/>
            <w:vAlign w:val="center"/>
          </w:tcPr>
          <w:p>
            <w:pPr>
              <w:jc w:val="center"/>
              <w:rPr>
                <w:rFonts w:asciiTheme="minorEastAsia" w:hAnsiTheme="minorEastAsia"/>
                <w:szCs w:val="21"/>
              </w:rPr>
            </w:pPr>
            <w:r>
              <w:rPr>
                <w:rFonts w:asciiTheme="minorEastAsia" w:hAnsiTheme="minorEastAsia"/>
                <w:szCs w:val="21"/>
              </w:rPr>
              <w:t>GB/T 2433-2001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8</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硫</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17040-2019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9</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磷</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17476-</w:t>
            </w:r>
            <w:r>
              <w:rPr>
                <w:rFonts w:asciiTheme="minorEastAsia" w:hAnsiTheme="minorEastAsia"/>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10</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钙</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17476-</w:t>
            </w:r>
            <w:r>
              <w:rPr>
                <w:rFonts w:asciiTheme="minorEastAsia" w:hAnsiTheme="minorEastAsia"/>
                <w:szCs w:val="21"/>
              </w:rPr>
              <w:t>2023</w:t>
            </w:r>
          </w:p>
        </w:tc>
      </w:tr>
    </w:tbl>
    <w:p>
      <w:pPr>
        <w:adjustRightInd w:val="0"/>
        <w:snapToGrid w:val="0"/>
        <w:spacing w:line="360" w:lineRule="auto"/>
        <w:rPr>
          <w:rFonts w:asciiTheme="minorEastAsia" w:hAnsiTheme="minorEastAsia"/>
          <w:szCs w:val="21"/>
        </w:rPr>
      </w:pPr>
      <w:r>
        <w:rPr>
          <w:rFonts w:hint="eastAsia" w:ascii="Times New Roman" w:hAnsi="Times New Roman" w:cs="Times New Roman"/>
          <w:color w:val="000000"/>
          <w:szCs w:val="21"/>
        </w:rPr>
        <w:t>2</w:t>
      </w:r>
      <w:r>
        <w:rPr>
          <w:rFonts w:ascii="Times New Roman" w:hAnsi="Times New Roman" w:cs="Times New Roman"/>
          <w:color w:val="000000"/>
          <w:szCs w:val="21"/>
        </w:rPr>
        <w:t xml:space="preserve">.2 </w:t>
      </w:r>
      <w:r>
        <w:rPr>
          <w:rFonts w:hint="eastAsia" w:asciiTheme="minorEastAsia" w:hAnsiTheme="minorEastAsia"/>
          <w:szCs w:val="21"/>
        </w:rPr>
        <w:t>工业闭式齿轮油</w:t>
      </w:r>
    </w:p>
    <w:tbl>
      <w:tblPr>
        <w:tblStyle w:val="6"/>
        <w:tblW w:w="9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718"/>
        <w:gridCol w:w="4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94"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序号</w:t>
            </w:r>
          </w:p>
        </w:tc>
        <w:tc>
          <w:tcPr>
            <w:tcW w:w="4718"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检验项目</w:t>
            </w:r>
          </w:p>
        </w:tc>
        <w:tc>
          <w:tcPr>
            <w:tcW w:w="4275"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1</w:t>
            </w:r>
          </w:p>
        </w:tc>
        <w:tc>
          <w:tcPr>
            <w:tcW w:w="4718" w:type="dxa"/>
            <w:vAlign w:val="center"/>
          </w:tcPr>
          <w:p>
            <w:pPr>
              <w:snapToGrid w:val="0"/>
              <w:jc w:val="center"/>
              <w:rPr>
                <w:rFonts w:asciiTheme="minorEastAsia" w:hAnsiTheme="minorEastAsia"/>
                <w:szCs w:val="21"/>
              </w:rPr>
            </w:pPr>
            <w:r>
              <w:rPr>
                <w:rFonts w:hint="eastAsia" w:asciiTheme="minorEastAsia" w:hAnsiTheme="minorEastAsia"/>
                <w:szCs w:val="21"/>
              </w:rPr>
              <w:t>运动黏度</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2</w:t>
            </w:r>
          </w:p>
        </w:tc>
        <w:tc>
          <w:tcPr>
            <w:tcW w:w="4718" w:type="dxa"/>
            <w:vAlign w:val="center"/>
          </w:tcPr>
          <w:p>
            <w:pPr>
              <w:adjustRightInd w:val="0"/>
              <w:snapToGrid w:val="0"/>
              <w:jc w:val="center"/>
              <w:rPr>
                <w:rFonts w:asciiTheme="minorEastAsia" w:hAnsiTheme="minorEastAsia"/>
                <w:szCs w:val="21"/>
              </w:rPr>
            </w:pPr>
            <w:r>
              <w:rPr>
                <w:rFonts w:hint="eastAsia" w:asciiTheme="minorEastAsia" w:hAnsiTheme="minorEastAsia"/>
                <w:szCs w:val="21"/>
              </w:rPr>
              <w:t>闪点（开口）</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3</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倾点</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4</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水分</w:t>
            </w:r>
          </w:p>
        </w:tc>
        <w:tc>
          <w:tcPr>
            <w:tcW w:w="4275" w:type="dxa"/>
            <w:vAlign w:val="center"/>
          </w:tcPr>
          <w:p>
            <w:pPr>
              <w:jc w:val="center"/>
              <w:rPr>
                <w:rFonts w:asciiTheme="minorEastAsia" w:hAnsiTheme="minorEastAsia"/>
                <w:szCs w:val="21"/>
              </w:rPr>
            </w:pPr>
            <w:r>
              <w:rPr>
                <w:rFonts w:hint="eastAsia" w:asciiTheme="minorEastAsia" w:hAnsiTheme="minorEastAsia"/>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5</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机械杂质</w:t>
            </w:r>
          </w:p>
        </w:tc>
        <w:tc>
          <w:tcPr>
            <w:tcW w:w="4275" w:type="dxa"/>
            <w:vAlign w:val="center"/>
          </w:tcPr>
          <w:p>
            <w:pPr>
              <w:jc w:val="center"/>
              <w:rPr>
                <w:rFonts w:asciiTheme="minorEastAsia" w:hAnsiTheme="minorEastAsia"/>
                <w:szCs w:val="21"/>
              </w:rPr>
            </w:pPr>
            <w:r>
              <w:rPr>
                <w:rFonts w:asciiTheme="minorEastAsia" w:hAnsiTheme="minorEastAsia"/>
                <w:szCs w:val="21"/>
              </w:rPr>
              <w:t>GB/T</w:t>
            </w:r>
            <w:r>
              <w:rPr>
                <w:rFonts w:hint="eastAsia" w:asciiTheme="minorEastAsia" w:hAnsiTheme="minorEastAsia"/>
                <w:szCs w:val="21"/>
              </w:rPr>
              <w:t xml:space="preserve"> </w:t>
            </w:r>
            <w:r>
              <w:rPr>
                <w:rFonts w:asciiTheme="minorEastAsia" w:hAnsiTheme="minorEastAsia"/>
                <w:szCs w:val="21"/>
              </w:rPr>
              <w:t>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6</w:t>
            </w:r>
          </w:p>
        </w:tc>
        <w:tc>
          <w:tcPr>
            <w:tcW w:w="4718" w:type="dxa"/>
            <w:vAlign w:val="center"/>
          </w:tcPr>
          <w:p>
            <w:pPr>
              <w:widowControl/>
              <w:adjustRightInd w:val="0"/>
              <w:snapToGrid w:val="0"/>
              <w:jc w:val="center"/>
              <w:rPr>
                <w:rFonts w:asciiTheme="minorEastAsia" w:hAnsiTheme="minorEastAsia"/>
                <w:szCs w:val="21"/>
              </w:rPr>
            </w:pPr>
            <w:r>
              <w:rPr>
                <w:rFonts w:hint="eastAsia" w:asciiTheme="minorEastAsia" w:hAnsiTheme="minorEastAsia"/>
                <w:szCs w:val="21"/>
              </w:rPr>
              <w:t>泡沫性</w:t>
            </w:r>
          </w:p>
        </w:tc>
        <w:tc>
          <w:tcPr>
            <w:tcW w:w="4275" w:type="dxa"/>
            <w:vAlign w:val="center"/>
          </w:tcPr>
          <w:p>
            <w:pPr>
              <w:jc w:val="center"/>
              <w:rPr>
                <w:rFonts w:asciiTheme="minorEastAsia" w:hAnsiTheme="minorEastAsia"/>
                <w:szCs w:val="21"/>
              </w:rPr>
            </w:pPr>
            <w:r>
              <w:rPr>
                <w:rFonts w:asciiTheme="minorEastAsia" w:hAnsiTheme="minorEastAsia"/>
                <w:szCs w:val="21"/>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694" w:type="dxa"/>
            <w:vAlign w:val="center"/>
          </w:tcPr>
          <w:p>
            <w:pPr>
              <w:jc w:val="center"/>
              <w:rPr>
                <w:rFonts w:asciiTheme="minorEastAsia" w:hAnsiTheme="minorEastAsia"/>
                <w:szCs w:val="21"/>
              </w:rPr>
            </w:pPr>
            <w:r>
              <w:rPr>
                <w:rFonts w:asciiTheme="minorEastAsia" w:hAnsiTheme="minorEastAsia"/>
                <w:szCs w:val="21"/>
              </w:rPr>
              <w:t>7</w:t>
            </w:r>
          </w:p>
        </w:tc>
        <w:tc>
          <w:tcPr>
            <w:tcW w:w="4718" w:type="dxa"/>
            <w:vAlign w:val="center"/>
          </w:tcPr>
          <w:p>
            <w:pPr>
              <w:snapToGrid w:val="0"/>
              <w:jc w:val="center"/>
              <w:rPr>
                <w:rFonts w:asciiTheme="minorEastAsia" w:hAnsiTheme="minorEastAsia"/>
                <w:szCs w:val="21"/>
              </w:rPr>
            </w:pPr>
            <w:r>
              <w:rPr>
                <w:rFonts w:hint="eastAsia" w:asciiTheme="minorEastAsia" w:hAnsiTheme="minorEastAsia"/>
                <w:szCs w:val="21"/>
              </w:rPr>
              <w:t>铜片腐蚀</w:t>
            </w:r>
          </w:p>
        </w:tc>
        <w:tc>
          <w:tcPr>
            <w:tcW w:w="4275" w:type="dxa"/>
            <w:vAlign w:val="center"/>
          </w:tcPr>
          <w:p>
            <w:pPr>
              <w:jc w:val="center"/>
              <w:rPr>
                <w:rFonts w:asciiTheme="minorEastAsia" w:hAnsiTheme="minorEastAsia"/>
                <w:szCs w:val="21"/>
              </w:rPr>
            </w:pPr>
            <w:r>
              <w:rPr>
                <w:rFonts w:asciiTheme="minorEastAsia" w:hAnsiTheme="minorEastAsia"/>
                <w:szCs w:val="21"/>
              </w:rPr>
              <w:t>GB/T 5096-2017</w:t>
            </w:r>
          </w:p>
        </w:tc>
      </w:tr>
    </w:tbl>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pStyle w:val="2"/>
        <w:adjustRightInd w:val="0"/>
        <w:snapToGrid w:val="0"/>
        <w:spacing w:line="360" w:lineRule="auto"/>
        <w:ind w:firstLine="420" w:firstLineChars="200"/>
        <w:rPr>
          <w:rFonts w:asciiTheme="minorEastAsia" w:hAnsiTheme="minorEastAsia"/>
          <w:szCs w:val="21"/>
        </w:rPr>
      </w:pPr>
      <w:r>
        <w:rPr>
          <w:rFonts w:hint="eastAsia" w:asciiTheme="minorEastAsia" w:hAnsiTheme="minorEastAsia"/>
          <w:szCs w:val="21"/>
        </w:rPr>
        <w:t>GB 5903-2011工业闭式齿轮油</w:t>
      </w:r>
    </w:p>
    <w:p>
      <w:pPr>
        <w:pStyle w:val="2"/>
        <w:adjustRightInd w:val="0"/>
        <w:snapToGrid w:val="0"/>
        <w:spacing w:line="360" w:lineRule="auto"/>
        <w:ind w:firstLine="420" w:firstLineChars="200"/>
        <w:rPr>
          <w:rFonts w:hAnsi="宋体" w:eastAsia="宋体" w:cs="宋体"/>
          <w:szCs w:val="21"/>
        </w:rPr>
      </w:pPr>
      <w:r>
        <w:rPr>
          <w:rFonts w:hint="eastAsia" w:asciiTheme="minorEastAsia" w:hAnsiTheme="minorEastAsia"/>
          <w:szCs w:val="21"/>
        </w:rPr>
        <w:t>GB 13895-2018</w:t>
      </w:r>
      <w:r>
        <w:rPr>
          <w:rFonts w:asciiTheme="minorEastAsia" w:hAnsiTheme="minorEastAsia"/>
          <w:szCs w:val="21"/>
        </w:rPr>
        <w:t xml:space="preserve"> </w:t>
      </w:r>
      <w:r>
        <w:rPr>
          <w:rFonts w:hint="eastAsia" w:asciiTheme="minorEastAsia" w:hAnsiTheme="minorEastAsia"/>
          <w:szCs w:val="21"/>
        </w:rPr>
        <w:t>重负荷车辆齿轮油(GL-5)</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ind w:firstLine="417" w:firstLineChars="199"/>
        <w:rPr>
          <w:color w:val="000000"/>
          <w:szCs w:val="21"/>
        </w:rPr>
      </w:pPr>
    </w:p>
    <w:p>
      <w:pPr>
        <w:adjustRightInd w:val="0"/>
        <w:snapToGrid w:val="0"/>
        <w:spacing w:line="360" w:lineRule="auto"/>
        <w:rPr>
          <w:rFonts w:cs="Times New Roman" w:asciiTheme="minorEastAsia" w:hAnsiTheme="minorEastAsia"/>
          <w:color w:val="000000"/>
          <w:szCs w:val="21"/>
        </w:rPr>
      </w:pPr>
      <w:bookmarkStart w:id="1" w:name="_GoBack"/>
      <w:bookmarkEnd w:id="1"/>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60317"/>
    <w:rsid w:val="000713C0"/>
    <w:rsid w:val="00081C2D"/>
    <w:rsid w:val="0008535D"/>
    <w:rsid w:val="000B7712"/>
    <w:rsid w:val="000E1E29"/>
    <w:rsid w:val="00113B3A"/>
    <w:rsid w:val="001235B3"/>
    <w:rsid w:val="00145289"/>
    <w:rsid w:val="00195A98"/>
    <w:rsid w:val="001D09B4"/>
    <w:rsid w:val="001E1710"/>
    <w:rsid w:val="00201D77"/>
    <w:rsid w:val="002124E2"/>
    <w:rsid w:val="00251445"/>
    <w:rsid w:val="002F2DE0"/>
    <w:rsid w:val="003854E9"/>
    <w:rsid w:val="003C2322"/>
    <w:rsid w:val="0047424B"/>
    <w:rsid w:val="00522D3A"/>
    <w:rsid w:val="005E07DA"/>
    <w:rsid w:val="005E144C"/>
    <w:rsid w:val="00666842"/>
    <w:rsid w:val="0069657A"/>
    <w:rsid w:val="006B738A"/>
    <w:rsid w:val="00703683"/>
    <w:rsid w:val="00735D54"/>
    <w:rsid w:val="00751D7F"/>
    <w:rsid w:val="0075245C"/>
    <w:rsid w:val="00793BEC"/>
    <w:rsid w:val="007D769B"/>
    <w:rsid w:val="007F1EEC"/>
    <w:rsid w:val="007F6979"/>
    <w:rsid w:val="00812681"/>
    <w:rsid w:val="00857967"/>
    <w:rsid w:val="00871F0B"/>
    <w:rsid w:val="008B0A85"/>
    <w:rsid w:val="008B3904"/>
    <w:rsid w:val="008E4ADB"/>
    <w:rsid w:val="00920B65"/>
    <w:rsid w:val="00931E9B"/>
    <w:rsid w:val="00985432"/>
    <w:rsid w:val="00A60FC4"/>
    <w:rsid w:val="00A75F3F"/>
    <w:rsid w:val="00A76441"/>
    <w:rsid w:val="00AD0881"/>
    <w:rsid w:val="00AD345B"/>
    <w:rsid w:val="00AE7BF1"/>
    <w:rsid w:val="00B17E3C"/>
    <w:rsid w:val="00B67D91"/>
    <w:rsid w:val="00BD6EE5"/>
    <w:rsid w:val="00CA73CA"/>
    <w:rsid w:val="00CB7930"/>
    <w:rsid w:val="00CD736E"/>
    <w:rsid w:val="00D21A5D"/>
    <w:rsid w:val="00D26A30"/>
    <w:rsid w:val="00D420C2"/>
    <w:rsid w:val="00D80BF2"/>
    <w:rsid w:val="00E41C5F"/>
    <w:rsid w:val="00EA0169"/>
    <w:rsid w:val="00EE08E1"/>
    <w:rsid w:val="00FE1E5E"/>
    <w:rsid w:val="060200F0"/>
    <w:rsid w:val="09420F6D"/>
    <w:rsid w:val="09922312"/>
    <w:rsid w:val="0A3674D8"/>
    <w:rsid w:val="1DE061AB"/>
    <w:rsid w:val="211C3265"/>
    <w:rsid w:val="24581C9B"/>
    <w:rsid w:val="279777BC"/>
    <w:rsid w:val="2D9D4F01"/>
    <w:rsid w:val="338D69FB"/>
    <w:rsid w:val="397E01CB"/>
    <w:rsid w:val="3B18551C"/>
    <w:rsid w:val="3C626DF3"/>
    <w:rsid w:val="404B7B55"/>
    <w:rsid w:val="43063C9A"/>
    <w:rsid w:val="44B158FB"/>
    <w:rsid w:val="49DC72CD"/>
    <w:rsid w:val="5463518E"/>
    <w:rsid w:val="5C583F15"/>
    <w:rsid w:val="5DB85E94"/>
    <w:rsid w:val="623B46A6"/>
    <w:rsid w:val="6A5A4E2A"/>
    <w:rsid w:val="71F57208"/>
    <w:rsid w:val="73CC737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Balloon Text"/>
    <w:basedOn w:val="1"/>
    <w:link w:val="11"/>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9">
    <w:name w:val="页眉 字符"/>
    <w:basedOn w:val="7"/>
    <w:link w:val="5"/>
    <w:qFormat/>
    <w:uiPriority w:val="0"/>
    <w:rPr>
      <w:rFonts w:asciiTheme="minorHAnsi" w:hAnsiTheme="minorHAnsi" w:eastAsiaTheme="minorEastAsia" w:cstheme="minorBidi"/>
      <w:kern w:val="2"/>
      <w:sz w:val="18"/>
      <w:szCs w:val="18"/>
    </w:rPr>
  </w:style>
  <w:style w:type="character" w:customStyle="1" w:styleId="10">
    <w:name w:val="页脚 字符"/>
    <w:basedOn w:val="7"/>
    <w:link w:val="4"/>
    <w:qFormat/>
    <w:uiPriority w:val="0"/>
    <w:rPr>
      <w:rFonts w:asciiTheme="minorHAnsi" w:hAnsiTheme="minorHAnsi" w:eastAsiaTheme="minorEastAsia" w:cstheme="minorBidi"/>
      <w:kern w:val="2"/>
      <w:sz w:val="18"/>
      <w:szCs w:val="18"/>
    </w:rPr>
  </w:style>
  <w:style w:type="character" w:customStyle="1" w:styleId="11">
    <w:name w:val="批注框文本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168</Words>
  <Characters>960</Characters>
  <Lines>8</Lines>
  <Paragraphs>2</Paragraphs>
  <TotalTime>105</TotalTime>
  <ScaleCrop>false</ScaleCrop>
  <LinksUpToDate>false</LinksUpToDate>
  <CharactersWithSpaces>1126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Nyy</cp:lastModifiedBy>
  <dcterms:modified xsi:type="dcterms:W3CDTF">2024-04-18T08:22:02Z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FDAF7B19E6744117BCFA91835A05F101_12</vt:lpwstr>
  </property>
</Properties>
</file>