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eastAsia="方正小标宋简体" w:cs="方正仿宋简体"/>
          <w:color w:val="000000"/>
          <w:sz w:val="32"/>
          <w:szCs w:val="32"/>
        </w:rPr>
      </w:pPr>
      <w:r>
        <w:rPr>
          <w:rFonts w:hint="eastAsia" w:eastAsia="方正小标宋简体" w:cs="方正仿宋简体"/>
          <w:color w:val="000000"/>
          <w:sz w:val="32"/>
          <w:szCs w:val="32"/>
        </w:rPr>
        <w:t>2024年宁波市</w:t>
      </w:r>
      <w:r>
        <w:rPr>
          <w:rFonts w:eastAsia="方正小标宋简体"/>
          <w:color w:val="000000"/>
          <w:sz w:val="32"/>
          <w:szCs w:val="32"/>
        </w:rPr>
        <w:t>冷轧带肋钢筋</w:t>
      </w:r>
      <w:r>
        <w:rPr>
          <w:rFonts w:hint="eastAsia" w:eastAsia="方正小标宋简体" w:cs="方正仿宋简体"/>
          <w:color w:val="000000"/>
          <w:sz w:val="32"/>
          <w:szCs w:val="32"/>
        </w:rPr>
        <w:t>产品质量监督抽查</w:t>
      </w:r>
    </w:p>
    <w:p>
      <w:pPr>
        <w:snapToGrid w:val="0"/>
        <w:spacing w:line="440" w:lineRule="exact"/>
        <w:jc w:val="center"/>
        <w:rPr>
          <w:rFonts w:eastAsia="方正小标宋简体"/>
          <w:color w:val="000000"/>
          <w:sz w:val="32"/>
          <w:szCs w:val="32"/>
        </w:rPr>
      </w:pPr>
      <w:r>
        <w:rPr>
          <w:rFonts w:hint="eastAsia" w:eastAsia="方正小标宋简体" w:cs="方正仿宋简体"/>
          <w:color w:val="000000"/>
          <w:sz w:val="32"/>
          <w:szCs w:val="32"/>
        </w:rPr>
        <w:t>实施细则</w:t>
      </w:r>
    </w:p>
    <w:p>
      <w:pPr>
        <w:adjustRightInd w:val="0"/>
        <w:snapToGrid w:val="0"/>
        <w:spacing w:line="440" w:lineRule="exact"/>
        <w:jc w:val="center"/>
        <w:rPr>
          <w:rFonts w:eastAsia="方正小标宋简体"/>
          <w:color w:val="000000"/>
          <w:sz w:val="32"/>
          <w:szCs w:val="32"/>
        </w:rPr>
      </w:pPr>
    </w:p>
    <w:p>
      <w:pPr>
        <w:snapToGrid w:val="0"/>
        <w:spacing w:line="440" w:lineRule="exact"/>
        <w:rPr>
          <w:rFonts w:eastAsia="黑体"/>
          <w:color w:val="000000"/>
          <w:szCs w:val="21"/>
        </w:rPr>
      </w:pPr>
      <w:r>
        <w:rPr>
          <w:rFonts w:eastAsia="黑体"/>
          <w:color w:val="000000"/>
          <w:szCs w:val="21"/>
        </w:rPr>
        <w:t>1 抽样方法</w:t>
      </w:r>
    </w:p>
    <w:p>
      <w:pPr>
        <w:snapToGrid w:val="0"/>
        <w:spacing w:line="440" w:lineRule="exact"/>
        <w:ind w:firstLine="420" w:firstLineChars="200"/>
        <w:rPr>
          <w:color w:val="000000"/>
          <w:szCs w:val="21"/>
        </w:rPr>
      </w:pPr>
      <w:r>
        <w:rPr>
          <w:color w:val="000000"/>
          <w:szCs w:val="21"/>
        </w:rPr>
        <w:t>以随机抽样的方式在被抽样生产者、销售者的待销产品中抽取。</w:t>
      </w:r>
    </w:p>
    <w:p>
      <w:pPr>
        <w:snapToGrid w:val="0"/>
        <w:spacing w:line="440" w:lineRule="exact"/>
        <w:ind w:firstLine="420" w:firstLineChars="200"/>
        <w:rPr>
          <w:color w:val="000000"/>
          <w:szCs w:val="21"/>
        </w:rPr>
      </w:pPr>
      <w:r>
        <w:rPr>
          <w:color w:val="000000"/>
          <w:szCs w:val="21"/>
        </w:rPr>
        <w:t>随机数一般可使用随机数表等方法产生。</w:t>
      </w:r>
    </w:p>
    <w:p>
      <w:pPr>
        <w:snapToGrid w:val="0"/>
        <w:spacing w:line="440" w:lineRule="exact"/>
        <w:ind w:firstLine="420" w:firstLineChars="200"/>
        <w:rPr>
          <w:color w:val="000000"/>
          <w:szCs w:val="21"/>
        </w:rPr>
      </w:pPr>
      <w:r>
        <w:rPr>
          <w:color w:val="000000"/>
          <w:szCs w:val="21"/>
        </w:rPr>
        <w:t>对直条冷轧带肋钢筋取样时，在同一批次的产品中抽取1捆，在该捆中抽取5根钢筋，每根钢筋截取的长度为2</w:t>
      </w:r>
      <w:r>
        <w:rPr>
          <w:rFonts w:hint="eastAsia"/>
          <w:color w:val="000000"/>
          <w:szCs w:val="21"/>
        </w:rPr>
        <w:t>0</w:t>
      </w:r>
      <w:r>
        <w:rPr>
          <w:color w:val="000000"/>
          <w:szCs w:val="21"/>
        </w:rPr>
        <w:t>00mm，逐根顺序编号为1～5，再把每根钢筋分成2支长度为1</w:t>
      </w:r>
      <w:r>
        <w:rPr>
          <w:rFonts w:hint="eastAsia"/>
          <w:color w:val="000000"/>
          <w:szCs w:val="21"/>
        </w:rPr>
        <w:t>0</w:t>
      </w:r>
      <w:r>
        <w:rPr>
          <w:color w:val="000000"/>
          <w:szCs w:val="21"/>
        </w:rPr>
        <w:t>00mm的样品，2支样品逐支编号标记，并一一对应（如1-a，1-b），每支样品要保证有完整的表面标志，标记a的5支样品为检验样品，标记b的5支样品为备用样品。</w:t>
      </w:r>
    </w:p>
    <w:p>
      <w:pPr>
        <w:snapToGrid w:val="0"/>
        <w:spacing w:line="440" w:lineRule="exact"/>
        <w:ind w:firstLine="420" w:firstLineChars="200"/>
        <w:rPr>
          <w:color w:val="000000"/>
          <w:szCs w:val="21"/>
        </w:rPr>
      </w:pPr>
      <w:r>
        <w:rPr>
          <w:color w:val="000000"/>
          <w:szCs w:val="21"/>
        </w:rPr>
        <w:t>对盘卷冷轧带肋钢筋取样时，在同一批次的产品中抽取5盘产品，在每盘钢筋随机截取1根长度为2</w:t>
      </w:r>
      <w:r>
        <w:rPr>
          <w:rFonts w:hint="eastAsia"/>
          <w:color w:val="000000"/>
          <w:szCs w:val="21"/>
        </w:rPr>
        <w:t>0</w:t>
      </w:r>
      <w:r>
        <w:rPr>
          <w:color w:val="000000"/>
          <w:szCs w:val="21"/>
        </w:rPr>
        <w:t>00mm的钢筋，逐根顺序编号为1～5，再把每根钢筋分成2支长度为1</w:t>
      </w:r>
      <w:r>
        <w:rPr>
          <w:rFonts w:hint="eastAsia"/>
          <w:color w:val="000000"/>
          <w:szCs w:val="21"/>
        </w:rPr>
        <w:t>0</w:t>
      </w:r>
      <w:r>
        <w:rPr>
          <w:color w:val="000000"/>
          <w:szCs w:val="21"/>
        </w:rPr>
        <w:t>00mm的样品，2支样品逐支编号标记，并一一对应（如1-a，1-b），每支样品要保证有完整的表面标志。标记a的5支样品为检验样品，标记b的5支样品为备用样品。</w:t>
      </w:r>
    </w:p>
    <w:p>
      <w:pPr>
        <w:snapToGrid w:val="0"/>
        <w:spacing w:line="440" w:lineRule="exact"/>
        <w:ind w:firstLine="420" w:firstLineChars="200"/>
        <w:rPr>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rPr>
          <w:rFonts w:eastAsia="黑体"/>
          <w:color w:val="000000"/>
          <w:szCs w:val="21"/>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167"/>
        <w:gridCol w:w="2996"/>
        <w:gridCol w:w="2081"/>
        <w:gridCol w:w="2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353" w:type="pct"/>
            <w:vAlign w:val="center"/>
          </w:tcPr>
          <w:p>
            <w:pPr>
              <w:jc w:val="center"/>
              <w:rPr>
                <w:rFonts w:eastAsiaTheme="minorEastAsia"/>
                <w:szCs w:val="21"/>
              </w:rPr>
            </w:pPr>
            <w:r>
              <w:rPr>
                <w:rFonts w:eastAsiaTheme="minorEastAsia"/>
                <w:szCs w:val="21"/>
              </w:rPr>
              <w:t>序号</w:t>
            </w:r>
          </w:p>
        </w:tc>
        <w:tc>
          <w:tcPr>
            <w:tcW w:w="2269" w:type="pct"/>
            <w:gridSpan w:val="2"/>
            <w:vAlign w:val="center"/>
          </w:tcPr>
          <w:p>
            <w:pPr>
              <w:jc w:val="center"/>
              <w:rPr>
                <w:rFonts w:eastAsiaTheme="minorEastAsia"/>
                <w:szCs w:val="21"/>
              </w:rPr>
            </w:pPr>
            <w:r>
              <w:rPr>
                <w:rFonts w:eastAsiaTheme="minorEastAsia"/>
                <w:szCs w:val="21"/>
              </w:rPr>
              <w:t>检验项目</w:t>
            </w:r>
          </w:p>
        </w:tc>
        <w:tc>
          <w:tcPr>
            <w:tcW w:w="1134" w:type="pct"/>
            <w:vAlign w:val="center"/>
          </w:tcPr>
          <w:p>
            <w:pPr>
              <w:jc w:val="center"/>
              <w:rPr>
                <w:rFonts w:eastAsiaTheme="minorEastAsia"/>
                <w:szCs w:val="21"/>
              </w:rPr>
            </w:pPr>
            <w:r>
              <w:rPr>
                <w:rFonts w:eastAsiaTheme="minorEastAsia"/>
                <w:szCs w:val="21"/>
              </w:rPr>
              <w:t>检验依据</w:t>
            </w:r>
          </w:p>
        </w:tc>
        <w:tc>
          <w:tcPr>
            <w:tcW w:w="1244" w:type="pct"/>
            <w:vAlign w:val="center"/>
          </w:tcPr>
          <w:p>
            <w:pPr>
              <w:jc w:val="center"/>
              <w:rPr>
                <w:rFonts w:eastAsiaTheme="minorEastAsia"/>
                <w:szCs w:val="21"/>
              </w:rPr>
            </w:pPr>
            <w:r>
              <w:rPr>
                <w:rFonts w:eastAsia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3" w:type="pct"/>
            <w:vMerge w:val="restart"/>
            <w:vAlign w:val="center"/>
          </w:tcPr>
          <w:p>
            <w:pPr>
              <w:jc w:val="center"/>
              <w:rPr>
                <w:rFonts w:eastAsiaTheme="minorEastAsia"/>
                <w:szCs w:val="21"/>
              </w:rPr>
            </w:pPr>
            <w:r>
              <w:rPr>
                <w:rFonts w:eastAsiaTheme="minorEastAsia"/>
                <w:szCs w:val="21"/>
              </w:rPr>
              <w:t>1</w:t>
            </w:r>
          </w:p>
        </w:tc>
        <w:tc>
          <w:tcPr>
            <w:tcW w:w="636" w:type="pct"/>
            <w:vMerge w:val="restart"/>
            <w:vAlign w:val="center"/>
          </w:tcPr>
          <w:p>
            <w:pPr>
              <w:jc w:val="center"/>
              <w:rPr>
                <w:rFonts w:eastAsiaTheme="minorEastAsia"/>
                <w:szCs w:val="21"/>
              </w:rPr>
            </w:pPr>
            <w:r>
              <w:rPr>
                <w:rFonts w:eastAsiaTheme="minorEastAsia"/>
                <w:szCs w:val="21"/>
              </w:rPr>
              <w:t>力学性能</w:t>
            </w:r>
          </w:p>
        </w:tc>
        <w:tc>
          <w:tcPr>
            <w:tcW w:w="1633" w:type="pct"/>
            <w:vAlign w:val="center"/>
          </w:tcPr>
          <w:p>
            <w:pPr>
              <w:jc w:val="center"/>
              <w:rPr>
                <w:rFonts w:eastAsiaTheme="minorEastAsia"/>
                <w:szCs w:val="21"/>
              </w:rPr>
            </w:pPr>
            <w:r>
              <w:rPr>
                <w:rFonts w:hint="eastAsia" w:eastAsiaTheme="minorEastAsia"/>
                <w:szCs w:val="21"/>
              </w:rPr>
              <w:t>规定塑性延伸强度</w:t>
            </w:r>
          </w:p>
        </w:tc>
        <w:tc>
          <w:tcPr>
            <w:tcW w:w="1134" w:type="pct"/>
            <w:vMerge w:val="restart"/>
            <w:vAlign w:val="center"/>
          </w:tcPr>
          <w:p>
            <w:pPr>
              <w:jc w:val="center"/>
              <w:rPr>
                <w:rFonts w:eastAsiaTheme="minorEastAsia"/>
                <w:szCs w:val="21"/>
              </w:rPr>
            </w:pPr>
            <w:r>
              <w:rPr>
                <w:rFonts w:eastAsiaTheme="minorEastAsia"/>
                <w:szCs w:val="21"/>
              </w:rPr>
              <w:t xml:space="preserve">GB/T </w:t>
            </w:r>
            <w:r>
              <w:rPr>
                <w:rFonts w:hint="eastAsia" w:eastAsiaTheme="minorEastAsia"/>
                <w:szCs w:val="21"/>
              </w:rPr>
              <w:t>13788</w:t>
            </w:r>
            <w:r>
              <w:t>—</w:t>
            </w:r>
            <w:r>
              <w:rPr>
                <w:rFonts w:eastAsiaTheme="minorEastAsia"/>
                <w:szCs w:val="21"/>
              </w:rPr>
              <w:t>201</w:t>
            </w:r>
            <w:r>
              <w:rPr>
                <w:rFonts w:hint="eastAsia" w:eastAsiaTheme="minorEastAsia"/>
                <w:szCs w:val="21"/>
              </w:rPr>
              <w:t>7</w:t>
            </w:r>
          </w:p>
        </w:tc>
        <w:tc>
          <w:tcPr>
            <w:tcW w:w="1244" w:type="pct"/>
            <w:vMerge w:val="restart"/>
            <w:vAlign w:val="center"/>
          </w:tcPr>
          <w:p>
            <w:pPr>
              <w:jc w:val="center"/>
              <w:rPr>
                <w:rFonts w:eastAsiaTheme="minorEastAsia"/>
                <w:szCs w:val="21"/>
              </w:rPr>
            </w:pPr>
            <w:r>
              <w:rPr>
                <w:rFonts w:eastAsiaTheme="minorEastAsia"/>
                <w:szCs w:val="21"/>
              </w:rPr>
              <w:t xml:space="preserve">GB/T </w:t>
            </w:r>
            <w:r>
              <w:rPr>
                <w:rFonts w:hint="eastAsia" w:eastAsiaTheme="minorEastAsia"/>
                <w:szCs w:val="21"/>
              </w:rPr>
              <w:t>13788</w:t>
            </w:r>
            <w:r>
              <w:t>—</w:t>
            </w:r>
            <w:r>
              <w:rPr>
                <w:rFonts w:eastAsiaTheme="minorEastAsia"/>
                <w:szCs w:val="21"/>
              </w:rPr>
              <w:t>201</w:t>
            </w:r>
            <w:r>
              <w:rPr>
                <w:rFonts w:hint="eastAsia" w:eastAsiaTheme="minorEastAsia"/>
                <w:szCs w:val="21"/>
              </w:rPr>
              <w:t>7</w:t>
            </w:r>
          </w:p>
          <w:p>
            <w:pPr>
              <w:jc w:val="center"/>
              <w:rPr>
                <w:rFonts w:eastAsiaTheme="minorEastAsia"/>
                <w:szCs w:val="21"/>
              </w:rPr>
            </w:pPr>
            <w:r>
              <w:rPr>
                <w:rFonts w:eastAsiaTheme="minorEastAsia"/>
                <w:szCs w:val="21"/>
              </w:rPr>
              <w:t>GB/T 28900</w:t>
            </w:r>
            <w:r>
              <w:t>—</w:t>
            </w:r>
            <w:r>
              <w:rPr>
                <w:rFonts w:eastAsiaTheme="minorEastAsia"/>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3" w:type="pct"/>
            <w:vMerge w:val="continue"/>
            <w:vAlign w:val="center"/>
          </w:tcPr>
          <w:p>
            <w:pPr>
              <w:jc w:val="center"/>
              <w:rPr>
                <w:rFonts w:eastAsiaTheme="minorEastAsia"/>
                <w:szCs w:val="21"/>
              </w:rPr>
            </w:pPr>
          </w:p>
        </w:tc>
        <w:tc>
          <w:tcPr>
            <w:tcW w:w="636" w:type="pct"/>
            <w:vMerge w:val="continue"/>
            <w:vAlign w:val="center"/>
          </w:tcPr>
          <w:p>
            <w:pPr>
              <w:jc w:val="center"/>
              <w:rPr>
                <w:rFonts w:eastAsiaTheme="minorEastAsia"/>
                <w:szCs w:val="21"/>
              </w:rPr>
            </w:pPr>
          </w:p>
        </w:tc>
        <w:tc>
          <w:tcPr>
            <w:tcW w:w="1633" w:type="pct"/>
            <w:vAlign w:val="center"/>
          </w:tcPr>
          <w:p>
            <w:pPr>
              <w:jc w:val="center"/>
              <w:rPr>
                <w:rFonts w:eastAsiaTheme="minorEastAsia"/>
                <w:szCs w:val="21"/>
              </w:rPr>
            </w:pPr>
            <w:r>
              <w:rPr>
                <w:rFonts w:hint="eastAsia" w:eastAsiaTheme="minorEastAsia"/>
                <w:szCs w:val="21"/>
              </w:rPr>
              <w:t>抗拉强度</w:t>
            </w:r>
          </w:p>
        </w:tc>
        <w:tc>
          <w:tcPr>
            <w:tcW w:w="1134" w:type="pct"/>
            <w:vMerge w:val="continue"/>
            <w:vAlign w:val="center"/>
          </w:tcPr>
          <w:p>
            <w:pPr>
              <w:jc w:val="center"/>
              <w:rPr>
                <w:rFonts w:eastAsiaTheme="minorEastAsia"/>
                <w:szCs w:val="21"/>
              </w:rPr>
            </w:pPr>
          </w:p>
        </w:tc>
        <w:tc>
          <w:tcPr>
            <w:tcW w:w="1244"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3" w:type="pct"/>
            <w:vMerge w:val="continue"/>
            <w:vAlign w:val="center"/>
          </w:tcPr>
          <w:p>
            <w:pPr>
              <w:jc w:val="center"/>
              <w:rPr>
                <w:rFonts w:eastAsiaTheme="minorEastAsia"/>
                <w:szCs w:val="21"/>
              </w:rPr>
            </w:pPr>
          </w:p>
        </w:tc>
        <w:tc>
          <w:tcPr>
            <w:tcW w:w="636" w:type="pct"/>
            <w:vMerge w:val="continue"/>
            <w:vAlign w:val="center"/>
          </w:tcPr>
          <w:p>
            <w:pPr>
              <w:jc w:val="center"/>
              <w:rPr>
                <w:rFonts w:eastAsiaTheme="minorEastAsia"/>
                <w:szCs w:val="21"/>
              </w:rPr>
            </w:pPr>
          </w:p>
        </w:tc>
        <w:tc>
          <w:tcPr>
            <w:tcW w:w="1633" w:type="pct"/>
            <w:vAlign w:val="center"/>
          </w:tcPr>
          <w:p>
            <w:pPr>
              <w:jc w:val="center"/>
              <w:rPr>
                <w:rFonts w:eastAsiaTheme="minorEastAsia"/>
                <w:szCs w:val="21"/>
              </w:rPr>
            </w:pPr>
            <w:r>
              <w:rPr>
                <w:rFonts w:hint="eastAsia" w:eastAsiaTheme="minorEastAsia"/>
                <w:szCs w:val="21"/>
              </w:rPr>
              <w:t>断后伸长率</w:t>
            </w:r>
          </w:p>
        </w:tc>
        <w:tc>
          <w:tcPr>
            <w:tcW w:w="1134" w:type="pct"/>
            <w:vMerge w:val="continue"/>
            <w:vAlign w:val="center"/>
          </w:tcPr>
          <w:p>
            <w:pPr>
              <w:jc w:val="center"/>
              <w:rPr>
                <w:rFonts w:eastAsiaTheme="minorEastAsia"/>
                <w:szCs w:val="21"/>
              </w:rPr>
            </w:pPr>
          </w:p>
        </w:tc>
        <w:tc>
          <w:tcPr>
            <w:tcW w:w="1244"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3" w:type="pct"/>
            <w:vMerge w:val="continue"/>
            <w:vAlign w:val="center"/>
          </w:tcPr>
          <w:p>
            <w:pPr>
              <w:jc w:val="center"/>
              <w:rPr>
                <w:rFonts w:eastAsiaTheme="minorEastAsia"/>
                <w:szCs w:val="21"/>
              </w:rPr>
            </w:pPr>
          </w:p>
        </w:tc>
        <w:tc>
          <w:tcPr>
            <w:tcW w:w="636" w:type="pct"/>
            <w:vMerge w:val="continue"/>
            <w:vAlign w:val="center"/>
          </w:tcPr>
          <w:p>
            <w:pPr>
              <w:jc w:val="center"/>
              <w:rPr>
                <w:rFonts w:eastAsiaTheme="minorEastAsia"/>
                <w:szCs w:val="21"/>
              </w:rPr>
            </w:pPr>
          </w:p>
        </w:tc>
        <w:tc>
          <w:tcPr>
            <w:tcW w:w="1633" w:type="pct"/>
            <w:vAlign w:val="center"/>
          </w:tcPr>
          <w:p>
            <w:pPr>
              <w:jc w:val="center"/>
              <w:rPr>
                <w:rFonts w:eastAsiaTheme="minorEastAsia"/>
                <w:szCs w:val="21"/>
              </w:rPr>
            </w:pPr>
            <w:r>
              <w:rPr>
                <w:rFonts w:hint="eastAsia" w:eastAsiaTheme="minorEastAsia"/>
                <w:szCs w:val="21"/>
              </w:rPr>
              <w:t>强屈比</w:t>
            </w:r>
          </w:p>
        </w:tc>
        <w:tc>
          <w:tcPr>
            <w:tcW w:w="1134" w:type="pct"/>
            <w:vMerge w:val="continue"/>
            <w:vAlign w:val="center"/>
          </w:tcPr>
          <w:p>
            <w:pPr>
              <w:jc w:val="center"/>
              <w:rPr>
                <w:rFonts w:eastAsiaTheme="minorEastAsia"/>
                <w:szCs w:val="21"/>
              </w:rPr>
            </w:pPr>
          </w:p>
        </w:tc>
        <w:tc>
          <w:tcPr>
            <w:tcW w:w="1244"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3" w:type="pct"/>
            <w:vMerge w:val="continue"/>
            <w:vAlign w:val="center"/>
          </w:tcPr>
          <w:p>
            <w:pPr>
              <w:jc w:val="center"/>
              <w:rPr>
                <w:rFonts w:eastAsiaTheme="minorEastAsia"/>
                <w:szCs w:val="21"/>
              </w:rPr>
            </w:pPr>
          </w:p>
        </w:tc>
        <w:tc>
          <w:tcPr>
            <w:tcW w:w="636" w:type="pct"/>
            <w:vMerge w:val="continue"/>
            <w:vAlign w:val="center"/>
          </w:tcPr>
          <w:p>
            <w:pPr>
              <w:jc w:val="center"/>
              <w:rPr>
                <w:rFonts w:eastAsiaTheme="minorEastAsia"/>
                <w:szCs w:val="21"/>
              </w:rPr>
            </w:pPr>
          </w:p>
        </w:tc>
        <w:tc>
          <w:tcPr>
            <w:tcW w:w="1633" w:type="pct"/>
            <w:vAlign w:val="center"/>
          </w:tcPr>
          <w:p>
            <w:pPr>
              <w:jc w:val="center"/>
              <w:rPr>
                <w:rFonts w:eastAsiaTheme="minorEastAsia"/>
                <w:szCs w:val="21"/>
              </w:rPr>
            </w:pPr>
            <w:r>
              <w:rPr>
                <w:rFonts w:hint="eastAsia" w:eastAsiaTheme="minorEastAsia"/>
                <w:szCs w:val="21"/>
              </w:rPr>
              <w:t>最大力总延伸率</w:t>
            </w:r>
          </w:p>
        </w:tc>
        <w:tc>
          <w:tcPr>
            <w:tcW w:w="1134" w:type="pct"/>
            <w:vMerge w:val="continue"/>
            <w:vAlign w:val="center"/>
          </w:tcPr>
          <w:p>
            <w:pPr>
              <w:jc w:val="center"/>
              <w:rPr>
                <w:rFonts w:eastAsiaTheme="minorEastAsia"/>
                <w:szCs w:val="21"/>
              </w:rPr>
            </w:pPr>
          </w:p>
        </w:tc>
        <w:tc>
          <w:tcPr>
            <w:tcW w:w="1244" w:type="pct"/>
            <w:vMerge w:val="continue"/>
            <w:vAlign w:val="center"/>
          </w:tcPr>
          <w:p>
            <w:pPr>
              <w:jc w:val="center"/>
              <w:rPr>
                <w:rFonts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3" w:type="pct"/>
            <w:vAlign w:val="center"/>
          </w:tcPr>
          <w:p>
            <w:pPr>
              <w:jc w:val="center"/>
              <w:rPr>
                <w:rFonts w:eastAsiaTheme="minorEastAsia"/>
                <w:szCs w:val="21"/>
              </w:rPr>
            </w:pPr>
            <w:r>
              <w:rPr>
                <w:rFonts w:eastAsiaTheme="minorEastAsia"/>
                <w:szCs w:val="21"/>
              </w:rPr>
              <w:t>2</w:t>
            </w:r>
          </w:p>
        </w:tc>
        <w:tc>
          <w:tcPr>
            <w:tcW w:w="636" w:type="pct"/>
            <w:vAlign w:val="center"/>
          </w:tcPr>
          <w:p>
            <w:pPr>
              <w:jc w:val="center"/>
              <w:rPr>
                <w:rFonts w:eastAsiaTheme="minorEastAsia"/>
                <w:szCs w:val="21"/>
              </w:rPr>
            </w:pPr>
            <w:r>
              <w:rPr>
                <w:rFonts w:eastAsiaTheme="minorEastAsia"/>
                <w:szCs w:val="21"/>
              </w:rPr>
              <w:t>工艺性能</w:t>
            </w:r>
          </w:p>
        </w:tc>
        <w:tc>
          <w:tcPr>
            <w:tcW w:w="1633" w:type="pct"/>
            <w:vAlign w:val="center"/>
          </w:tcPr>
          <w:p>
            <w:pPr>
              <w:jc w:val="center"/>
              <w:rPr>
                <w:rFonts w:eastAsiaTheme="minorEastAsia"/>
                <w:szCs w:val="21"/>
              </w:rPr>
            </w:pPr>
            <w:r>
              <w:rPr>
                <w:rFonts w:eastAsiaTheme="minorEastAsia"/>
                <w:szCs w:val="21"/>
              </w:rPr>
              <w:t>弯曲</w:t>
            </w:r>
          </w:p>
        </w:tc>
        <w:tc>
          <w:tcPr>
            <w:tcW w:w="1134" w:type="pct"/>
            <w:vAlign w:val="center"/>
          </w:tcPr>
          <w:p>
            <w:pPr>
              <w:jc w:val="center"/>
              <w:rPr>
                <w:rFonts w:eastAsiaTheme="minorEastAsia"/>
                <w:szCs w:val="21"/>
              </w:rPr>
            </w:pPr>
            <w:r>
              <w:rPr>
                <w:rFonts w:eastAsiaTheme="minorEastAsia"/>
                <w:szCs w:val="21"/>
              </w:rPr>
              <w:t xml:space="preserve">GB/T </w:t>
            </w:r>
            <w:r>
              <w:rPr>
                <w:rFonts w:hint="eastAsia" w:eastAsiaTheme="minorEastAsia"/>
                <w:szCs w:val="21"/>
              </w:rPr>
              <w:t>13788</w:t>
            </w:r>
            <w:r>
              <w:t>—</w:t>
            </w:r>
            <w:r>
              <w:rPr>
                <w:rFonts w:eastAsiaTheme="minorEastAsia"/>
                <w:szCs w:val="21"/>
              </w:rPr>
              <w:t>201</w:t>
            </w:r>
            <w:r>
              <w:rPr>
                <w:rFonts w:hint="eastAsia" w:eastAsiaTheme="minorEastAsia"/>
                <w:szCs w:val="21"/>
              </w:rPr>
              <w:t>7</w:t>
            </w:r>
          </w:p>
        </w:tc>
        <w:tc>
          <w:tcPr>
            <w:tcW w:w="1244" w:type="pct"/>
            <w:vAlign w:val="center"/>
          </w:tcPr>
          <w:p>
            <w:pPr>
              <w:jc w:val="center"/>
              <w:rPr>
                <w:rFonts w:eastAsiaTheme="minorEastAsia"/>
                <w:szCs w:val="21"/>
              </w:rPr>
            </w:pPr>
            <w:r>
              <w:rPr>
                <w:rFonts w:eastAsiaTheme="minorEastAsia"/>
                <w:szCs w:val="21"/>
              </w:rPr>
              <w:t xml:space="preserve">GB/T </w:t>
            </w:r>
            <w:r>
              <w:rPr>
                <w:rFonts w:hint="eastAsia" w:eastAsiaTheme="minorEastAsia"/>
                <w:szCs w:val="21"/>
              </w:rPr>
              <w:t>13788</w:t>
            </w:r>
            <w:r>
              <w:t>—</w:t>
            </w:r>
            <w:r>
              <w:rPr>
                <w:rFonts w:eastAsiaTheme="minorEastAsia"/>
                <w:szCs w:val="21"/>
              </w:rPr>
              <w:t>201</w:t>
            </w:r>
            <w:r>
              <w:rPr>
                <w:rFonts w:hint="eastAsia" w:eastAsiaTheme="minorEastAsia"/>
                <w:szCs w:val="21"/>
              </w:rPr>
              <w:t>7</w:t>
            </w:r>
          </w:p>
          <w:p>
            <w:pPr>
              <w:jc w:val="center"/>
              <w:rPr>
                <w:rFonts w:eastAsiaTheme="minorEastAsia"/>
                <w:szCs w:val="21"/>
              </w:rPr>
            </w:pPr>
            <w:r>
              <w:rPr>
                <w:rFonts w:eastAsiaTheme="minorEastAsia"/>
                <w:szCs w:val="21"/>
              </w:rPr>
              <w:t>GB/T 28900</w:t>
            </w:r>
            <w:r>
              <w:t>—</w:t>
            </w:r>
            <w:r>
              <w:rPr>
                <w:rFonts w:eastAsiaTheme="minorEastAsia"/>
                <w:szCs w:val="21"/>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3" w:type="pct"/>
            <w:vMerge w:val="restart"/>
            <w:vAlign w:val="center"/>
          </w:tcPr>
          <w:p>
            <w:pPr>
              <w:jc w:val="center"/>
              <w:rPr>
                <w:rFonts w:eastAsiaTheme="minorEastAsia"/>
                <w:szCs w:val="21"/>
              </w:rPr>
            </w:pPr>
            <w:r>
              <w:rPr>
                <w:rFonts w:hint="eastAsia" w:eastAsiaTheme="minorEastAsia"/>
                <w:szCs w:val="21"/>
              </w:rPr>
              <w:t>3</w:t>
            </w:r>
          </w:p>
        </w:tc>
        <w:tc>
          <w:tcPr>
            <w:tcW w:w="636" w:type="pct"/>
            <w:vMerge w:val="restart"/>
            <w:vAlign w:val="center"/>
          </w:tcPr>
          <w:p>
            <w:pPr>
              <w:jc w:val="center"/>
              <w:rPr>
                <w:rFonts w:eastAsiaTheme="minorEastAsia"/>
                <w:szCs w:val="21"/>
              </w:rPr>
            </w:pPr>
            <w:r>
              <w:rPr>
                <w:rFonts w:eastAsiaTheme="minorEastAsia"/>
                <w:szCs w:val="21"/>
              </w:rPr>
              <w:t>尺寸</w:t>
            </w:r>
          </w:p>
        </w:tc>
        <w:tc>
          <w:tcPr>
            <w:tcW w:w="1633" w:type="pct"/>
            <w:vAlign w:val="center"/>
          </w:tcPr>
          <w:p>
            <w:pPr>
              <w:jc w:val="center"/>
              <w:rPr>
                <w:rFonts w:eastAsiaTheme="minorEastAsia"/>
                <w:szCs w:val="21"/>
              </w:rPr>
            </w:pPr>
            <w:r>
              <w:rPr>
                <w:rFonts w:eastAsiaTheme="minorEastAsia"/>
                <w:szCs w:val="21"/>
              </w:rPr>
              <w:t>横肋中点高</w:t>
            </w:r>
          </w:p>
        </w:tc>
        <w:tc>
          <w:tcPr>
            <w:tcW w:w="1134" w:type="pct"/>
            <w:vMerge w:val="restart"/>
            <w:vAlign w:val="center"/>
          </w:tcPr>
          <w:p>
            <w:pPr>
              <w:jc w:val="center"/>
              <w:rPr>
                <w:rFonts w:eastAsiaTheme="minorEastAsia"/>
                <w:szCs w:val="21"/>
              </w:rPr>
            </w:pPr>
            <w:r>
              <w:rPr>
                <w:rFonts w:eastAsiaTheme="minorEastAsia"/>
                <w:szCs w:val="21"/>
              </w:rPr>
              <w:t xml:space="preserve">GB/T </w:t>
            </w:r>
            <w:r>
              <w:rPr>
                <w:rFonts w:hint="eastAsia" w:eastAsiaTheme="minorEastAsia"/>
                <w:szCs w:val="21"/>
              </w:rPr>
              <w:t>13788</w:t>
            </w:r>
            <w:r>
              <w:t>—</w:t>
            </w:r>
            <w:r>
              <w:rPr>
                <w:rFonts w:eastAsiaTheme="minorEastAsia"/>
                <w:szCs w:val="21"/>
              </w:rPr>
              <w:t>201</w:t>
            </w:r>
            <w:r>
              <w:rPr>
                <w:rFonts w:hint="eastAsia" w:eastAsiaTheme="minorEastAsia"/>
                <w:szCs w:val="21"/>
              </w:rPr>
              <w:t>7</w:t>
            </w:r>
          </w:p>
        </w:tc>
        <w:tc>
          <w:tcPr>
            <w:tcW w:w="1244" w:type="pct"/>
            <w:vAlign w:val="center"/>
          </w:tcPr>
          <w:p>
            <w:pPr>
              <w:jc w:val="center"/>
              <w:rPr>
                <w:rFonts w:eastAsiaTheme="minorEastAsia"/>
                <w:szCs w:val="21"/>
              </w:rPr>
            </w:pPr>
            <w:r>
              <w:rPr>
                <w:rFonts w:eastAsiaTheme="minorEastAsia"/>
                <w:szCs w:val="21"/>
              </w:rPr>
              <w:t xml:space="preserve">GB/T </w:t>
            </w:r>
            <w:r>
              <w:rPr>
                <w:rFonts w:hint="eastAsia" w:eastAsiaTheme="minorEastAsia"/>
                <w:szCs w:val="21"/>
              </w:rPr>
              <w:t>13788</w:t>
            </w:r>
            <w:r>
              <w:t>—</w:t>
            </w:r>
            <w:r>
              <w:rPr>
                <w:rFonts w:eastAsiaTheme="minorEastAsia"/>
                <w:szCs w:val="21"/>
              </w:rPr>
              <w:t>201</w:t>
            </w:r>
            <w:r>
              <w:rPr>
                <w:rFonts w:hint="eastAsia" w:eastAsiaTheme="minorEastAsia"/>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3" w:type="pct"/>
            <w:vMerge w:val="continue"/>
            <w:vAlign w:val="center"/>
          </w:tcPr>
          <w:p>
            <w:pPr>
              <w:jc w:val="center"/>
              <w:rPr>
                <w:rFonts w:eastAsiaTheme="minorEastAsia"/>
                <w:szCs w:val="21"/>
              </w:rPr>
            </w:pPr>
          </w:p>
        </w:tc>
        <w:tc>
          <w:tcPr>
            <w:tcW w:w="636" w:type="pct"/>
            <w:vMerge w:val="continue"/>
            <w:vAlign w:val="center"/>
          </w:tcPr>
          <w:p>
            <w:pPr>
              <w:jc w:val="center"/>
              <w:rPr>
                <w:rFonts w:eastAsiaTheme="minorEastAsia"/>
                <w:szCs w:val="21"/>
              </w:rPr>
            </w:pPr>
          </w:p>
        </w:tc>
        <w:tc>
          <w:tcPr>
            <w:tcW w:w="1633" w:type="pct"/>
            <w:vAlign w:val="center"/>
          </w:tcPr>
          <w:p>
            <w:pPr>
              <w:jc w:val="center"/>
              <w:rPr>
                <w:rFonts w:eastAsiaTheme="minorEastAsia"/>
                <w:szCs w:val="21"/>
              </w:rPr>
            </w:pPr>
            <w:r>
              <w:rPr>
                <w:rFonts w:eastAsiaTheme="minorEastAsia"/>
                <w:szCs w:val="21"/>
              </w:rPr>
              <w:t>横肋间距</w:t>
            </w:r>
          </w:p>
        </w:tc>
        <w:tc>
          <w:tcPr>
            <w:tcW w:w="1134" w:type="pct"/>
            <w:vMerge w:val="continue"/>
            <w:vAlign w:val="center"/>
          </w:tcPr>
          <w:p>
            <w:pPr>
              <w:jc w:val="center"/>
              <w:rPr>
                <w:rFonts w:eastAsiaTheme="minorEastAsia"/>
                <w:szCs w:val="21"/>
              </w:rPr>
            </w:pPr>
          </w:p>
        </w:tc>
        <w:tc>
          <w:tcPr>
            <w:tcW w:w="1244" w:type="pct"/>
            <w:vAlign w:val="center"/>
          </w:tcPr>
          <w:p>
            <w:pPr>
              <w:jc w:val="center"/>
              <w:rPr>
                <w:rFonts w:eastAsiaTheme="minorEastAsia"/>
                <w:szCs w:val="21"/>
              </w:rPr>
            </w:pPr>
            <w:r>
              <w:rPr>
                <w:rFonts w:eastAsiaTheme="minorEastAsia"/>
                <w:szCs w:val="21"/>
              </w:rPr>
              <w:t xml:space="preserve">GB/T </w:t>
            </w:r>
            <w:r>
              <w:rPr>
                <w:rFonts w:hint="eastAsia" w:eastAsiaTheme="minorEastAsia"/>
                <w:szCs w:val="21"/>
              </w:rPr>
              <w:t>13788</w:t>
            </w:r>
            <w:r>
              <w:t>—</w:t>
            </w:r>
            <w:r>
              <w:rPr>
                <w:rFonts w:eastAsiaTheme="minorEastAsia"/>
                <w:szCs w:val="21"/>
              </w:rPr>
              <w:t>201</w:t>
            </w:r>
            <w:r>
              <w:rPr>
                <w:rFonts w:hint="eastAsia" w:eastAsiaTheme="minorEastAsia"/>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3" w:type="pct"/>
            <w:vAlign w:val="center"/>
          </w:tcPr>
          <w:p>
            <w:pPr>
              <w:jc w:val="center"/>
              <w:rPr>
                <w:rFonts w:eastAsiaTheme="minorEastAsia"/>
                <w:szCs w:val="21"/>
              </w:rPr>
            </w:pPr>
            <w:r>
              <w:rPr>
                <w:rFonts w:hint="eastAsia" w:eastAsiaTheme="minorEastAsia"/>
                <w:szCs w:val="21"/>
              </w:rPr>
              <w:t>4</w:t>
            </w:r>
          </w:p>
        </w:tc>
        <w:tc>
          <w:tcPr>
            <w:tcW w:w="2269" w:type="pct"/>
            <w:gridSpan w:val="2"/>
            <w:vAlign w:val="center"/>
          </w:tcPr>
          <w:p>
            <w:pPr>
              <w:jc w:val="center"/>
              <w:rPr>
                <w:rFonts w:eastAsiaTheme="minorEastAsia"/>
                <w:szCs w:val="21"/>
              </w:rPr>
            </w:pPr>
            <w:r>
              <w:rPr>
                <w:rFonts w:eastAsiaTheme="minorEastAsia"/>
                <w:szCs w:val="21"/>
              </w:rPr>
              <w:t>重量偏差</w:t>
            </w:r>
          </w:p>
        </w:tc>
        <w:tc>
          <w:tcPr>
            <w:tcW w:w="1134" w:type="pct"/>
            <w:vAlign w:val="center"/>
          </w:tcPr>
          <w:p>
            <w:pPr>
              <w:jc w:val="center"/>
              <w:rPr>
                <w:rFonts w:eastAsiaTheme="minorEastAsia"/>
                <w:szCs w:val="21"/>
              </w:rPr>
            </w:pPr>
            <w:r>
              <w:rPr>
                <w:rFonts w:eastAsiaTheme="minorEastAsia"/>
                <w:szCs w:val="21"/>
              </w:rPr>
              <w:t xml:space="preserve">GB/T </w:t>
            </w:r>
            <w:r>
              <w:rPr>
                <w:rFonts w:hint="eastAsia" w:eastAsiaTheme="minorEastAsia"/>
                <w:szCs w:val="21"/>
              </w:rPr>
              <w:t>13788</w:t>
            </w:r>
            <w:r>
              <w:t>—</w:t>
            </w:r>
            <w:r>
              <w:rPr>
                <w:rFonts w:eastAsiaTheme="minorEastAsia"/>
                <w:szCs w:val="21"/>
              </w:rPr>
              <w:t>201</w:t>
            </w:r>
            <w:r>
              <w:rPr>
                <w:rFonts w:hint="eastAsia" w:eastAsiaTheme="minorEastAsia"/>
                <w:szCs w:val="21"/>
              </w:rPr>
              <w:t>7</w:t>
            </w:r>
          </w:p>
        </w:tc>
        <w:tc>
          <w:tcPr>
            <w:tcW w:w="1244" w:type="pct"/>
            <w:vAlign w:val="center"/>
          </w:tcPr>
          <w:p>
            <w:pPr>
              <w:jc w:val="center"/>
              <w:rPr>
                <w:rFonts w:eastAsiaTheme="minorEastAsia"/>
                <w:szCs w:val="21"/>
              </w:rPr>
            </w:pPr>
            <w:r>
              <w:rPr>
                <w:rFonts w:eastAsiaTheme="minorEastAsia"/>
                <w:szCs w:val="21"/>
              </w:rPr>
              <w:t xml:space="preserve">GB/T </w:t>
            </w:r>
            <w:r>
              <w:rPr>
                <w:rFonts w:hint="eastAsia" w:eastAsiaTheme="minorEastAsia"/>
                <w:szCs w:val="21"/>
              </w:rPr>
              <w:t>13788</w:t>
            </w:r>
            <w:r>
              <w:t>—</w:t>
            </w:r>
            <w:r>
              <w:rPr>
                <w:rFonts w:eastAsiaTheme="minorEastAsia"/>
                <w:szCs w:val="21"/>
              </w:rPr>
              <w:t>201</w:t>
            </w:r>
            <w:r>
              <w:rPr>
                <w:rFonts w:hint="eastAsia" w:eastAsiaTheme="minorEastAsia"/>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3" w:type="pct"/>
            <w:vAlign w:val="center"/>
          </w:tcPr>
          <w:p>
            <w:pPr>
              <w:jc w:val="center"/>
              <w:rPr>
                <w:rFonts w:eastAsiaTheme="minorEastAsia"/>
                <w:szCs w:val="21"/>
              </w:rPr>
            </w:pPr>
            <w:r>
              <w:rPr>
                <w:rFonts w:hint="eastAsia" w:eastAsiaTheme="minorEastAsia"/>
                <w:szCs w:val="21"/>
              </w:rPr>
              <w:t>5</w:t>
            </w:r>
          </w:p>
        </w:tc>
        <w:tc>
          <w:tcPr>
            <w:tcW w:w="2269" w:type="pct"/>
            <w:gridSpan w:val="2"/>
            <w:vAlign w:val="center"/>
          </w:tcPr>
          <w:p>
            <w:pPr>
              <w:jc w:val="center"/>
              <w:rPr>
                <w:rFonts w:eastAsiaTheme="minorEastAsia"/>
                <w:szCs w:val="21"/>
              </w:rPr>
            </w:pPr>
            <w:r>
              <w:rPr>
                <w:rFonts w:eastAsiaTheme="minorEastAsia"/>
                <w:szCs w:val="21"/>
              </w:rPr>
              <w:t>表面标志</w:t>
            </w:r>
          </w:p>
        </w:tc>
        <w:tc>
          <w:tcPr>
            <w:tcW w:w="1134" w:type="pct"/>
            <w:vAlign w:val="center"/>
          </w:tcPr>
          <w:p>
            <w:pPr>
              <w:jc w:val="center"/>
              <w:rPr>
                <w:rFonts w:eastAsiaTheme="minorEastAsia"/>
                <w:szCs w:val="21"/>
              </w:rPr>
            </w:pPr>
            <w:r>
              <w:rPr>
                <w:rFonts w:eastAsiaTheme="minorEastAsia"/>
                <w:szCs w:val="21"/>
              </w:rPr>
              <w:t xml:space="preserve">GB/T </w:t>
            </w:r>
            <w:r>
              <w:rPr>
                <w:rFonts w:hint="eastAsia" w:eastAsiaTheme="minorEastAsia"/>
                <w:szCs w:val="21"/>
              </w:rPr>
              <w:t>13788</w:t>
            </w:r>
            <w:r>
              <w:t>—</w:t>
            </w:r>
            <w:r>
              <w:rPr>
                <w:rFonts w:eastAsiaTheme="minorEastAsia"/>
                <w:szCs w:val="21"/>
              </w:rPr>
              <w:t>201</w:t>
            </w:r>
            <w:r>
              <w:rPr>
                <w:rFonts w:hint="eastAsia" w:eastAsiaTheme="minorEastAsia"/>
                <w:szCs w:val="21"/>
              </w:rPr>
              <w:t>7</w:t>
            </w:r>
          </w:p>
        </w:tc>
        <w:tc>
          <w:tcPr>
            <w:tcW w:w="1244" w:type="pct"/>
            <w:vAlign w:val="center"/>
          </w:tcPr>
          <w:p>
            <w:pPr>
              <w:jc w:val="center"/>
              <w:rPr>
                <w:rFonts w:eastAsiaTheme="minorEastAsia"/>
                <w:szCs w:val="21"/>
              </w:rPr>
            </w:pPr>
            <w:r>
              <w:rPr>
                <w:rFonts w:eastAsiaTheme="minorEastAsia"/>
                <w:szCs w:val="21"/>
              </w:rPr>
              <w:t xml:space="preserve">GB/T </w:t>
            </w:r>
            <w:r>
              <w:rPr>
                <w:rFonts w:hint="eastAsia" w:eastAsiaTheme="minorEastAsia"/>
                <w:szCs w:val="21"/>
              </w:rPr>
              <w:t>13788</w:t>
            </w:r>
            <w:r>
              <w:t>—</w:t>
            </w:r>
            <w:r>
              <w:rPr>
                <w:rFonts w:eastAsiaTheme="minorEastAsia"/>
                <w:szCs w:val="21"/>
              </w:rPr>
              <w:t>201</w:t>
            </w:r>
            <w:r>
              <w:rPr>
                <w:rFonts w:hint="eastAsia" w:eastAsiaTheme="minorEastAsia"/>
                <w:szCs w:val="21"/>
              </w:rPr>
              <w:t>7</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359" w:firstLineChars="171"/>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rPr>
          <w:color w:val="000000"/>
          <w:szCs w:val="21"/>
        </w:rPr>
      </w:pPr>
    </w:p>
    <w:p>
      <w:pPr>
        <w:spacing w:before="156" w:beforeLines="50" w:line="360" w:lineRule="auto"/>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ind w:firstLine="420" w:firstLineChars="200"/>
        <w:rPr>
          <w:color w:val="000000"/>
          <w:szCs w:val="21"/>
        </w:rPr>
      </w:pPr>
      <w:r>
        <w:rPr>
          <w:rFonts w:eastAsiaTheme="minorEastAsia"/>
          <w:szCs w:val="21"/>
        </w:rPr>
        <w:t xml:space="preserve">GB/T </w:t>
      </w:r>
      <w:r>
        <w:rPr>
          <w:rFonts w:hint="eastAsia" w:eastAsiaTheme="minorEastAsia"/>
          <w:szCs w:val="21"/>
        </w:rPr>
        <w:t>13788</w:t>
      </w:r>
      <w:r>
        <w:t>—</w:t>
      </w:r>
      <w:r>
        <w:rPr>
          <w:rFonts w:eastAsiaTheme="minorEastAsia"/>
          <w:szCs w:val="21"/>
        </w:rPr>
        <w:t>201</w:t>
      </w:r>
      <w:r>
        <w:rPr>
          <w:rFonts w:hint="eastAsia" w:eastAsiaTheme="minorEastAsia"/>
          <w:szCs w:val="21"/>
        </w:rPr>
        <w:t>7</w:t>
      </w:r>
      <w:r>
        <w:rPr>
          <w:rFonts w:eastAsiaTheme="minorEastAsia"/>
          <w:szCs w:val="21"/>
        </w:rPr>
        <w:t xml:space="preserve"> </w:t>
      </w:r>
      <w:r>
        <w:rPr>
          <w:rFonts w:hint="eastAsia"/>
          <w:color w:val="000000"/>
          <w:szCs w:val="21"/>
        </w:rPr>
        <w:t>冷</w:t>
      </w:r>
      <w:r>
        <w:rPr>
          <w:color w:val="000000"/>
          <w:szCs w:val="21"/>
        </w:rPr>
        <w:t>轧带肋钢筋</w:t>
      </w:r>
    </w:p>
    <w:p>
      <w:pPr>
        <w:snapToGrid w:val="0"/>
        <w:spacing w:line="440" w:lineRule="exact"/>
        <w:ind w:firstLine="420" w:firstLineChars="200"/>
        <w:rPr>
          <w:color w:val="000000"/>
          <w:szCs w:val="21"/>
        </w:rPr>
      </w:pPr>
      <w:r>
        <w:rPr>
          <w:color w:val="000000"/>
          <w:szCs w:val="21"/>
        </w:rPr>
        <w:t>现行有效的企业标准、团体标准、地方标准及产品明示质量要求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napToGrid w:val="0"/>
        <w:spacing w:line="440" w:lineRule="exact"/>
        <w:ind w:firstLine="417" w:firstLineChars="199"/>
        <w:rPr>
          <w:color w:val="000000"/>
          <w:szCs w:val="21"/>
        </w:rPr>
      </w:pPr>
    </w:p>
    <w:p>
      <w:pPr>
        <w:snapToGrid w:val="0"/>
        <w:spacing w:line="440" w:lineRule="exact"/>
        <w:ind w:firstLine="417" w:firstLineChars="199"/>
        <w:rPr>
          <w:color w:val="000000"/>
          <w:szCs w:val="21"/>
        </w:rPr>
      </w:pPr>
      <w:bookmarkStart w:id="0" w:name="_GoBack"/>
      <w:bookmarkEnd w:id="0"/>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yYjk3ZTI3NjEwN2E2ZGFkMmNlNGQ0ZDA3YTkzYWIifQ=="/>
  </w:docVars>
  <w:rsids>
    <w:rsidRoot w:val="00172A27"/>
    <w:rsid w:val="00012EEB"/>
    <w:rsid w:val="00051A44"/>
    <w:rsid w:val="00052092"/>
    <w:rsid w:val="00055C43"/>
    <w:rsid w:val="00063F78"/>
    <w:rsid w:val="000770C5"/>
    <w:rsid w:val="00081CBD"/>
    <w:rsid w:val="0008480D"/>
    <w:rsid w:val="0009216E"/>
    <w:rsid w:val="000976DE"/>
    <w:rsid w:val="000A0A61"/>
    <w:rsid w:val="000B7E87"/>
    <w:rsid w:val="000C27EF"/>
    <w:rsid w:val="000E2DE0"/>
    <w:rsid w:val="000F14E9"/>
    <w:rsid w:val="00125916"/>
    <w:rsid w:val="001565C3"/>
    <w:rsid w:val="00172A27"/>
    <w:rsid w:val="001809DD"/>
    <w:rsid w:val="00197642"/>
    <w:rsid w:val="001A51E1"/>
    <w:rsid w:val="001F3D40"/>
    <w:rsid w:val="00205BC7"/>
    <w:rsid w:val="00247E11"/>
    <w:rsid w:val="002501F8"/>
    <w:rsid w:val="00253624"/>
    <w:rsid w:val="002627EB"/>
    <w:rsid w:val="00273AE5"/>
    <w:rsid w:val="00275517"/>
    <w:rsid w:val="002A25C4"/>
    <w:rsid w:val="002D7F8A"/>
    <w:rsid w:val="002E0D1D"/>
    <w:rsid w:val="002E4610"/>
    <w:rsid w:val="003203A3"/>
    <w:rsid w:val="00392BF9"/>
    <w:rsid w:val="003B33A1"/>
    <w:rsid w:val="003B65A7"/>
    <w:rsid w:val="003C08F8"/>
    <w:rsid w:val="003C388C"/>
    <w:rsid w:val="003C4EF1"/>
    <w:rsid w:val="003D62CE"/>
    <w:rsid w:val="003D6DF1"/>
    <w:rsid w:val="003E011E"/>
    <w:rsid w:val="003E61BF"/>
    <w:rsid w:val="003F7F34"/>
    <w:rsid w:val="00400560"/>
    <w:rsid w:val="00445E86"/>
    <w:rsid w:val="0045059C"/>
    <w:rsid w:val="00467E74"/>
    <w:rsid w:val="00474E04"/>
    <w:rsid w:val="00483AC6"/>
    <w:rsid w:val="004A0936"/>
    <w:rsid w:val="004D0C5A"/>
    <w:rsid w:val="004D31EC"/>
    <w:rsid w:val="004E02D3"/>
    <w:rsid w:val="004E1396"/>
    <w:rsid w:val="004E7C02"/>
    <w:rsid w:val="004F261B"/>
    <w:rsid w:val="005328AC"/>
    <w:rsid w:val="00551B06"/>
    <w:rsid w:val="005623DE"/>
    <w:rsid w:val="00563EBC"/>
    <w:rsid w:val="005868F9"/>
    <w:rsid w:val="00593498"/>
    <w:rsid w:val="005A1399"/>
    <w:rsid w:val="005A34AC"/>
    <w:rsid w:val="005B64D3"/>
    <w:rsid w:val="005D0F42"/>
    <w:rsid w:val="005F4CC6"/>
    <w:rsid w:val="00634C4F"/>
    <w:rsid w:val="006440C7"/>
    <w:rsid w:val="00661CE9"/>
    <w:rsid w:val="006734CA"/>
    <w:rsid w:val="00673C07"/>
    <w:rsid w:val="006A5215"/>
    <w:rsid w:val="006F0971"/>
    <w:rsid w:val="0072334C"/>
    <w:rsid w:val="0074501E"/>
    <w:rsid w:val="007752EB"/>
    <w:rsid w:val="007A5C0E"/>
    <w:rsid w:val="007B75EE"/>
    <w:rsid w:val="007C3667"/>
    <w:rsid w:val="007F583F"/>
    <w:rsid w:val="008139C8"/>
    <w:rsid w:val="0082012D"/>
    <w:rsid w:val="0084012D"/>
    <w:rsid w:val="0087041A"/>
    <w:rsid w:val="00871617"/>
    <w:rsid w:val="008726BF"/>
    <w:rsid w:val="00895BEA"/>
    <w:rsid w:val="008A3497"/>
    <w:rsid w:val="008A61A4"/>
    <w:rsid w:val="008B1BD3"/>
    <w:rsid w:val="008C50E2"/>
    <w:rsid w:val="008E39B1"/>
    <w:rsid w:val="00916926"/>
    <w:rsid w:val="00916BE5"/>
    <w:rsid w:val="00917A54"/>
    <w:rsid w:val="00920DA2"/>
    <w:rsid w:val="00926C29"/>
    <w:rsid w:val="00930572"/>
    <w:rsid w:val="00936B2A"/>
    <w:rsid w:val="00944A63"/>
    <w:rsid w:val="00967C26"/>
    <w:rsid w:val="009865FB"/>
    <w:rsid w:val="009C6AE2"/>
    <w:rsid w:val="009E01DE"/>
    <w:rsid w:val="009F7375"/>
    <w:rsid w:val="00A1287B"/>
    <w:rsid w:val="00A25C52"/>
    <w:rsid w:val="00A26C6B"/>
    <w:rsid w:val="00A371F4"/>
    <w:rsid w:val="00A42847"/>
    <w:rsid w:val="00A43553"/>
    <w:rsid w:val="00A62E74"/>
    <w:rsid w:val="00A760C9"/>
    <w:rsid w:val="00A76D9F"/>
    <w:rsid w:val="00A80009"/>
    <w:rsid w:val="00A83893"/>
    <w:rsid w:val="00A902CC"/>
    <w:rsid w:val="00AA128C"/>
    <w:rsid w:val="00B3329E"/>
    <w:rsid w:val="00B5743B"/>
    <w:rsid w:val="00BA20EF"/>
    <w:rsid w:val="00BC52DB"/>
    <w:rsid w:val="00BF24FC"/>
    <w:rsid w:val="00BF5D64"/>
    <w:rsid w:val="00BF76DB"/>
    <w:rsid w:val="00C26074"/>
    <w:rsid w:val="00C34757"/>
    <w:rsid w:val="00C44CD6"/>
    <w:rsid w:val="00C626EC"/>
    <w:rsid w:val="00C83B0A"/>
    <w:rsid w:val="00C924E8"/>
    <w:rsid w:val="00CC137A"/>
    <w:rsid w:val="00CC195A"/>
    <w:rsid w:val="00CD37A8"/>
    <w:rsid w:val="00CE1E0C"/>
    <w:rsid w:val="00CE277E"/>
    <w:rsid w:val="00D120FA"/>
    <w:rsid w:val="00D1237C"/>
    <w:rsid w:val="00D50D7D"/>
    <w:rsid w:val="00D56867"/>
    <w:rsid w:val="00D7436E"/>
    <w:rsid w:val="00DE2075"/>
    <w:rsid w:val="00E02A7F"/>
    <w:rsid w:val="00E07880"/>
    <w:rsid w:val="00E53438"/>
    <w:rsid w:val="00E82621"/>
    <w:rsid w:val="00EA3D96"/>
    <w:rsid w:val="00ED4450"/>
    <w:rsid w:val="00ED5419"/>
    <w:rsid w:val="00ED6985"/>
    <w:rsid w:val="00F1455F"/>
    <w:rsid w:val="00F332B6"/>
    <w:rsid w:val="00F5372E"/>
    <w:rsid w:val="00F57D43"/>
    <w:rsid w:val="00F77C9A"/>
    <w:rsid w:val="00F86832"/>
    <w:rsid w:val="00FA47C4"/>
    <w:rsid w:val="00FB576C"/>
    <w:rsid w:val="00FD2AA6"/>
    <w:rsid w:val="00FE14EF"/>
    <w:rsid w:val="00FE7E8A"/>
    <w:rsid w:val="00FF5DCC"/>
    <w:rsid w:val="045917D2"/>
    <w:rsid w:val="09234C9E"/>
    <w:rsid w:val="0BF3562B"/>
    <w:rsid w:val="11473DDB"/>
    <w:rsid w:val="1A784B4A"/>
    <w:rsid w:val="1B9113EA"/>
    <w:rsid w:val="20AE06E7"/>
    <w:rsid w:val="2B146CC8"/>
    <w:rsid w:val="575527A0"/>
    <w:rsid w:val="59E81116"/>
    <w:rsid w:val="631E53A1"/>
    <w:rsid w:val="636B2161"/>
    <w:rsid w:val="6F917C18"/>
    <w:rsid w:val="6FE07B46"/>
    <w:rsid w:val="7B0B018A"/>
    <w:rsid w:val="7C782283"/>
    <w:rsid w:val="7EDB396C"/>
    <w:rsid w:val="7EEB53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Balloon Text"/>
    <w:basedOn w:val="1"/>
    <w:link w:val="12"/>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autoRedefine/>
    <w:qFormat/>
    <w:uiPriority w:val="0"/>
  </w:style>
  <w:style w:type="character" w:customStyle="1" w:styleId="9">
    <w:name w:val="页脚 字符"/>
    <w:basedOn w:val="7"/>
    <w:link w:val="4"/>
    <w:autoRedefine/>
    <w:qFormat/>
    <w:uiPriority w:val="99"/>
    <w:rPr>
      <w:kern w:val="2"/>
      <w:sz w:val="18"/>
      <w:szCs w:val="18"/>
    </w:rPr>
  </w:style>
  <w:style w:type="character" w:customStyle="1" w:styleId="10">
    <w:name w:val="页眉 字符"/>
    <w:basedOn w:val="7"/>
    <w:link w:val="5"/>
    <w:autoRedefine/>
    <w:semiHidden/>
    <w:qFormat/>
    <w:uiPriority w:val="99"/>
    <w:rPr>
      <w:kern w:val="2"/>
      <w:sz w:val="18"/>
      <w:szCs w:val="18"/>
    </w:rPr>
  </w:style>
  <w:style w:type="paragraph" w:customStyle="1" w:styleId="11">
    <w:name w:val="列出段落1"/>
    <w:basedOn w:val="1"/>
    <w:autoRedefine/>
    <w:qFormat/>
    <w:uiPriority w:val="34"/>
    <w:pPr>
      <w:ind w:firstLine="420" w:firstLineChars="200"/>
    </w:pPr>
    <w:rPr>
      <w:rFonts w:ascii="Calibri" w:hAnsi="Calibri"/>
      <w:szCs w:val="22"/>
    </w:rPr>
  </w:style>
  <w:style w:type="character" w:customStyle="1" w:styleId="12">
    <w:name w:val="批注框文本 字符"/>
    <w:basedOn w:val="7"/>
    <w:link w:val="3"/>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289</Words>
  <Characters>1650</Characters>
  <Lines>13</Lines>
  <Paragraphs>3</Paragraphs>
  <TotalTime>0</TotalTime>
  <ScaleCrop>false</ScaleCrop>
  <LinksUpToDate>false</LinksUpToDate>
  <CharactersWithSpaces>1936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2024-01-16T23:40:00Z</dcterms:created>
  <dc:creator>Legend User</dc:creator>
  <cp:lastModifiedBy>春天的信使</cp:lastModifiedBy>
  <cp:lastPrinted>2019-12-26T06:50:00Z</cp:lastPrinted>
  <dcterms:modified xsi:type="dcterms:W3CDTF">2024-04-12T04:47:09Z</dcterms:modified>
  <dc:title>××产品质量监督抽查实施细则</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04CE66498C774E84B1232E6F03F4CD10_13</vt:lpwstr>
  </property>
</Properties>
</file>