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4" w:lineRule="exact"/>
        <w:jc w:val="center"/>
        <w:rPr>
          <w:rFonts w:hint="eastAsia" w:eastAsia="方正小标宋简体" w:cs="方正仿宋简体"/>
          <w:color w:val="000000"/>
          <w:sz w:val="32"/>
          <w:szCs w:val="32"/>
        </w:rPr>
      </w:pPr>
      <w:r>
        <w:rPr>
          <w:rFonts w:hint="eastAsia" w:eastAsia="方正小标宋简体" w:cs="方正仿宋简体"/>
          <w:color w:val="000000"/>
          <w:sz w:val="32"/>
          <w:szCs w:val="32"/>
        </w:rPr>
        <w:t>2024年宁波市</w:t>
      </w:r>
      <w:r>
        <w:rPr>
          <w:rFonts w:hint="eastAsia" w:eastAsia="方正小标宋简体"/>
          <w:color w:val="000000"/>
          <w:sz w:val="32"/>
          <w:szCs w:val="32"/>
        </w:rPr>
        <w:t>铜棒</w:t>
      </w:r>
      <w:r>
        <w:rPr>
          <w:rFonts w:hint="eastAsia" w:eastAsia="方正小标宋简体" w:cs="方正仿宋简体"/>
          <w:color w:val="000000"/>
          <w:sz w:val="32"/>
          <w:szCs w:val="32"/>
        </w:rPr>
        <w:t>产品质量监督抽查</w:t>
      </w:r>
    </w:p>
    <w:p>
      <w:pPr>
        <w:snapToGrid w:val="0"/>
        <w:spacing w:line="440" w:lineRule="exact"/>
        <w:jc w:val="center"/>
        <w:rPr>
          <w:rFonts w:eastAsia="方正小标宋简体"/>
          <w:color w:val="000000"/>
          <w:sz w:val="32"/>
          <w:szCs w:val="32"/>
        </w:rPr>
      </w:pPr>
      <w:r>
        <w:rPr>
          <w:rFonts w:hint="eastAsia" w:eastAsia="方正小标宋简体" w:cs="方正仿宋简体"/>
          <w:color w:val="000000"/>
          <w:sz w:val="32"/>
          <w:szCs w:val="32"/>
        </w:rPr>
        <w:t>实施细则</w:t>
      </w:r>
    </w:p>
    <w:p>
      <w:pPr>
        <w:adjustRightInd w:val="0"/>
        <w:snapToGrid w:val="0"/>
        <w:spacing w:line="440" w:lineRule="exact"/>
        <w:jc w:val="center"/>
        <w:rPr>
          <w:rFonts w:eastAsia="方正小标宋简体"/>
          <w:color w:val="000000"/>
          <w:sz w:val="32"/>
          <w:szCs w:val="32"/>
        </w:rPr>
      </w:pPr>
    </w:p>
    <w:p>
      <w:pPr>
        <w:snapToGrid w:val="0"/>
        <w:spacing w:line="440" w:lineRule="exact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1 抽样方法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>（一）抽样方法</w:t>
      </w:r>
    </w:p>
    <w:p>
      <w:pPr>
        <w:pStyle w:val="14"/>
        <w:shd w:val="clear" w:color="auto" w:fill="FFFFFF"/>
        <w:adjustRightInd w:val="0"/>
        <w:snapToGrid w:val="0"/>
        <w:spacing w:line="264" w:lineRule="auto"/>
        <w:ind w:firstLine="420"/>
        <w:rPr>
          <w:color w:val="auto"/>
          <w:kern w:val="2"/>
          <w:highlight w:val="none"/>
        </w:rPr>
      </w:pPr>
      <w:r>
        <w:rPr>
          <w:color w:val="auto"/>
          <w:kern w:val="2"/>
          <w:highlight w:val="none"/>
        </w:rPr>
        <w:t>样品应当由抽样人员在被抽样生产者、销售者的待销产品或者生产线末端经检验合格的产品中随机抽样。抽样基数满足抽样数量即可。</w:t>
      </w:r>
    </w:p>
    <w:p>
      <w:pPr>
        <w:pStyle w:val="14"/>
        <w:shd w:val="clear" w:color="auto" w:fill="FFFFFF"/>
        <w:adjustRightInd w:val="0"/>
        <w:snapToGrid w:val="0"/>
        <w:spacing w:line="264" w:lineRule="auto"/>
        <w:ind w:firstLine="420"/>
        <w:rPr>
          <w:color w:val="auto"/>
          <w:kern w:val="2"/>
          <w:highlight w:val="none"/>
        </w:rPr>
      </w:pPr>
      <w:r>
        <w:rPr>
          <w:color w:val="auto"/>
          <w:kern w:val="2"/>
          <w:highlight w:val="none"/>
        </w:rPr>
        <w:t>现场抽样时应当购买检验样品，购买检样的价格以生产、销售产品的标价为准；没有标价的，以同类产品的市场价格为准。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>（二）抽样数量</w:t>
      </w:r>
    </w:p>
    <w:p>
      <w:pPr>
        <w:pStyle w:val="3"/>
        <w:adjustRightInd w:val="0"/>
        <w:snapToGrid w:val="0"/>
        <w:spacing w:line="264" w:lineRule="auto"/>
        <w:ind w:firstLine="525" w:firstLineChars="250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Cs w:val="21"/>
          <w:highlight w:val="none"/>
        </w:rPr>
        <w:t>从</w:t>
      </w:r>
      <w:r>
        <w:rPr>
          <w:rFonts w:ascii="Times New Roman" w:hAnsi="Times New Roman"/>
          <w:highlight w:val="none"/>
        </w:rPr>
        <w:t>同一生产者同一标准生产的同一商标、牌号、状态、规格和批次</w:t>
      </w:r>
      <w:r>
        <w:rPr>
          <w:rFonts w:ascii="Times New Roman" w:hAnsi="Times New Roman"/>
          <w:szCs w:val="21"/>
          <w:highlight w:val="none"/>
        </w:rPr>
        <w:t>的产品中随机抽取样品</w:t>
      </w:r>
      <w:r>
        <w:rPr>
          <w:rFonts w:ascii="Times New Roman" w:hAnsi="Times New Roman"/>
          <w:highlight w:val="none"/>
        </w:rPr>
        <w:t>2根，</w:t>
      </w:r>
      <w:r>
        <w:rPr>
          <w:rFonts w:hint="eastAsia" w:ascii="Times New Roman" w:hAnsi="Times New Roman"/>
          <w:highlight w:val="none"/>
        </w:rPr>
        <w:t>每</w:t>
      </w:r>
      <w:r>
        <w:rPr>
          <w:rFonts w:hint="eastAsia" w:ascii="Times New Roman" w:hAnsi="Times New Roman"/>
          <w:highlight w:val="none"/>
          <w:lang w:val="en-US" w:eastAsia="zh-CN"/>
        </w:rPr>
        <w:t>根</w:t>
      </w:r>
      <w:r>
        <w:rPr>
          <w:rFonts w:hint="eastAsia" w:ascii="Times New Roman" w:hAnsi="Times New Roman"/>
          <w:highlight w:val="none"/>
        </w:rPr>
        <w:t>截取长度</w:t>
      </w:r>
      <w:r>
        <w:rPr>
          <w:rFonts w:hint="eastAsia" w:ascii="Times New Roman" w:hAnsi="Times New Roman"/>
          <w:highlight w:val="none"/>
          <w:lang w:val="en-US" w:eastAsia="zh-CN"/>
        </w:rPr>
        <w:t>1200~</w:t>
      </w:r>
      <w:r>
        <w:rPr>
          <w:rFonts w:hint="eastAsia" w:ascii="Times New Roman" w:hAnsi="Times New Roman"/>
          <w:highlight w:val="none"/>
        </w:rPr>
        <w:t>1600</w:t>
      </w:r>
      <w:r>
        <w:rPr>
          <w:rFonts w:hint="eastAsia" w:ascii="Times New Roman" w:hAnsi="Times New Roman"/>
          <w:highlight w:val="none"/>
          <w:lang w:val="en-US" w:eastAsia="zh-CN"/>
        </w:rPr>
        <w:t>mm</w:t>
      </w:r>
      <w:r>
        <w:rPr>
          <w:rFonts w:hint="eastAsia" w:ascii="Times New Roman" w:hAnsi="Times New Roman"/>
          <w:highlight w:val="none"/>
        </w:rPr>
        <w:t>，均分为二</w:t>
      </w:r>
      <w:r>
        <w:rPr>
          <w:rFonts w:hint="eastAsia" w:ascii="Times New Roman" w:hAnsi="Times New Roman"/>
          <w:highlight w:val="none"/>
          <w:lang w:eastAsia="zh-CN"/>
        </w:rPr>
        <w:t>段</w:t>
      </w:r>
      <w:r>
        <w:rPr>
          <w:rFonts w:hint="eastAsia" w:ascii="Times New Roman" w:hAnsi="Times New Roman"/>
          <w:highlight w:val="none"/>
        </w:rPr>
        <w:t>，其中2</w:t>
      </w:r>
      <w:r>
        <w:rPr>
          <w:rFonts w:hint="eastAsia" w:ascii="Times New Roman" w:hAnsi="Times New Roman"/>
          <w:highlight w:val="none"/>
          <w:lang w:eastAsia="zh-CN"/>
        </w:rPr>
        <w:t>段</w:t>
      </w:r>
      <w:r>
        <w:rPr>
          <w:rFonts w:hint="eastAsia" w:ascii="Times New Roman" w:hAnsi="Times New Roman"/>
          <w:highlight w:val="none"/>
        </w:rPr>
        <w:t>(取自不同</w:t>
      </w:r>
      <w:r>
        <w:rPr>
          <w:rFonts w:hint="eastAsia" w:ascii="Times New Roman" w:hAnsi="Times New Roman"/>
          <w:highlight w:val="none"/>
          <w:lang w:eastAsia="zh-CN"/>
        </w:rPr>
        <w:t>根</w:t>
      </w:r>
      <w:r>
        <w:rPr>
          <w:rFonts w:hint="eastAsia" w:ascii="Times New Roman" w:hAnsi="Times New Roman"/>
          <w:highlight w:val="none"/>
        </w:rPr>
        <w:t>)为检验样品，另2</w:t>
      </w:r>
      <w:r>
        <w:rPr>
          <w:rFonts w:hint="eastAsia" w:ascii="Times New Roman" w:hAnsi="Times New Roman"/>
          <w:highlight w:val="none"/>
          <w:lang w:eastAsia="zh-CN"/>
        </w:rPr>
        <w:t>段</w:t>
      </w:r>
      <w:r>
        <w:rPr>
          <w:rFonts w:hint="eastAsia" w:ascii="Times New Roman" w:hAnsi="Times New Roman"/>
          <w:highlight w:val="none"/>
        </w:rPr>
        <w:t>作为备样。</w:t>
      </w:r>
    </w:p>
    <w:p>
      <w:pPr>
        <w:adjustRightInd w:val="0"/>
        <w:snapToGrid w:val="0"/>
        <w:spacing w:line="264" w:lineRule="auto"/>
        <w:ind w:firstLine="420" w:firstLineChars="200"/>
        <w:rPr>
          <w:kern w:val="0"/>
          <w:highlight w:val="none"/>
        </w:rPr>
      </w:pPr>
      <w:r>
        <w:rPr>
          <w:kern w:val="0"/>
          <w:highlight w:val="none"/>
        </w:rPr>
        <w:t>（三）注意事项</w:t>
      </w:r>
    </w:p>
    <w:p>
      <w:pPr>
        <w:adjustRightInd w:val="0"/>
        <w:snapToGrid w:val="0"/>
        <w:spacing w:line="264" w:lineRule="auto"/>
        <w:ind w:firstLine="420" w:firstLineChars="200"/>
        <w:rPr>
          <w:kern w:val="0"/>
          <w:highlight w:val="none"/>
        </w:rPr>
      </w:pPr>
      <w:r>
        <w:rPr>
          <w:kern w:val="0"/>
          <w:highlight w:val="none"/>
        </w:rPr>
        <w:t>1.上述抽样数量为本评价规则全项目所需样本量。如监督抽查任务为部分项目，按任务文件规定执行。</w:t>
      </w:r>
    </w:p>
    <w:p>
      <w:pPr>
        <w:adjustRightInd w:val="0"/>
        <w:snapToGrid w:val="0"/>
        <w:spacing w:line="264" w:lineRule="auto"/>
        <w:ind w:firstLine="420" w:firstLineChars="200"/>
        <w:rPr>
          <w:kern w:val="0"/>
          <w:highlight w:val="none"/>
        </w:rPr>
      </w:pPr>
      <w:r>
        <w:rPr>
          <w:kern w:val="0"/>
          <w:highlight w:val="none"/>
        </w:rPr>
        <w:t>2.现场抽样时，被抽样生产者、销售者应提供</w:t>
      </w:r>
      <w:r>
        <w:rPr>
          <w:highlight w:val="none"/>
        </w:rPr>
        <w:t>牌号、状态、规格</w:t>
      </w:r>
      <w:r>
        <w:rPr>
          <w:rFonts w:hint="eastAsia"/>
          <w:highlight w:val="none"/>
        </w:rPr>
        <w:t>、尺寸精度</w:t>
      </w:r>
      <w:r>
        <w:rPr>
          <w:highlight w:val="none"/>
        </w:rPr>
        <w:t>等</w:t>
      </w:r>
      <w:r>
        <w:rPr>
          <w:kern w:val="0"/>
          <w:highlight w:val="none"/>
        </w:rPr>
        <w:t>技术参数，并在抽样单上</w:t>
      </w:r>
      <w:r>
        <w:rPr>
          <w:rFonts w:hint="eastAsia"/>
          <w:kern w:val="0"/>
          <w:highlight w:val="none"/>
        </w:rPr>
        <w:t>注明且</w:t>
      </w:r>
      <w:r>
        <w:rPr>
          <w:kern w:val="0"/>
          <w:highlight w:val="none"/>
        </w:rPr>
        <w:t>签章确认。</w:t>
      </w:r>
    </w:p>
    <w:p>
      <w:pPr>
        <w:adjustRightInd w:val="0"/>
        <w:snapToGrid w:val="0"/>
        <w:spacing w:line="264" w:lineRule="auto"/>
        <w:ind w:firstLine="420" w:firstLineChars="200"/>
        <w:rPr>
          <w:kern w:val="0"/>
          <w:highlight w:val="none"/>
        </w:rPr>
      </w:pPr>
      <w:r>
        <w:rPr>
          <w:kern w:val="0"/>
          <w:highlight w:val="none"/>
        </w:rPr>
        <w:t>3.样品在运输、存储过程中应采取有效措施保证样品完好无损。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</w:p>
    <w:p>
      <w:pPr>
        <w:snapToGrid w:val="0"/>
        <w:spacing w:line="440" w:lineRule="exact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2 检验依据</w:t>
      </w:r>
    </w:p>
    <w:p>
      <w:pPr>
        <w:pStyle w:val="3"/>
        <w:snapToGrid w:val="0"/>
        <w:spacing w:line="276" w:lineRule="auto"/>
        <w:ind w:firstLine="210" w:firstLineChars="100"/>
        <w:jc w:val="center"/>
        <w:rPr>
          <w:rFonts w:hint="eastAsia"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>表1</w:t>
      </w:r>
      <w:r>
        <w:rPr>
          <w:rFonts w:hint="eastAsia" w:ascii="Times New Roman" w:hAnsi="Times New Roman"/>
          <w:highlight w:val="none"/>
        </w:rPr>
        <w:t xml:space="preserve">  明示执行标准为</w:t>
      </w:r>
      <w:r>
        <w:rPr>
          <w:rFonts w:ascii="Times New Roman" w:hAnsi="Times New Roman"/>
          <w:highlight w:val="none"/>
        </w:rPr>
        <w:t xml:space="preserve">GB/T </w:t>
      </w:r>
      <w:r>
        <w:rPr>
          <w:rFonts w:hint="eastAsia" w:ascii="Times New Roman" w:hAnsi="Times New Roman"/>
          <w:highlight w:val="none"/>
          <w:lang w:eastAsia="zh-CN"/>
        </w:rPr>
        <w:t>4423-2020</w:t>
      </w:r>
      <w:r>
        <w:rPr>
          <w:rFonts w:hint="eastAsia" w:ascii="Times New Roman" w:hAnsi="Times New Roman"/>
          <w:highlight w:val="none"/>
        </w:rPr>
        <w:t>的检验项目</w:t>
      </w:r>
    </w:p>
    <w:tbl>
      <w:tblPr>
        <w:tblStyle w:val="7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500"/>
        <w:gridCol w:w="10"/>
        <w:gridCol w:w="1401"/>
        <w:gridCol w:w="1755"/>
        <w:gridCol w:w="913"/>
        <w:gridCol w:w="851"/>
        <w:gridCol w:w="709"/>
        <w:gridCol w:w="85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6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序号</w:t>
            </w:r>
          </w:p>
        </w:tc>
        <w:tc>
          <w:tcPr>
            <w:tcW w:w="1911" w:type="dxa"/>
            <w:gridSpan w:val="3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检验项目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标准条款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不合格</w:t>
            </w:r>
          </w:p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类别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项目</w:t>
            </w:r>
          </w:p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设定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样本量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复检用</w:t>
            </w:r>
          </w:p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样品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66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1</w:t>
            </w:r>
          </w:p>
        </w:tc>
        <w:tc>
          <w:tcPr>
            <w:tcW w:w="510" w:type="dxa"/>
            <w:gridSpan w:val="2"/>
            <w:vMerge w:val="restart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尺</w:t>
            </w:r>
          </w:p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寸</w:t>
            </w:r>
          </w:p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外</w:t>
            </w:r>
          </w:p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形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直径/对边距/宽度/高度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 xml:space="preserve">GB/T 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4423-2020</w:t>
            </w:r>
            <w:r>
              <w:rPr>
                <w:rFonts w:hAnsi="宋体"/>
                <w:szCs w:val="21"/>
                <w:highlight w:val="none"/>
              </w:rPr>
              <w:t>第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4.2.1</w:t>
            </w:r>
            <w:r>
              <w:rPr>
                <w:rFonts w:hAnsi="宋体"/>
                <w:szCs w:val="21"/>
                <w:highlight w:val="none"/>
              </w:rPr>
              <w:t>条</w:t>
            </w:r>
          </w:p>
        </w:tc>
        <w:tc>
          <w:tcPr>
            <w:tcW w:w="913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B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非主要项目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原样</w:t>
            </w:r>
          </w:p>
        </w:tc>
        <w:tc>
          <w:tcPr>
            <w:tcW w:w="2268" w:type="dxa"/>
            <w:vMerge w:val="restart"/>
            <w:noWrap w:val="0"/>
            <w:vAlign w:val="center"/>
          </w:tcPr>
          <w:p>
            <w:pPr>
              <w:pStyle w:val="3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510" w:type="dxa"/>
            <w:gridSpan w:val="2"/>
            <w:vMerge w:val="continue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圆度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 xml:space="preserve">GB/T 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4423-2020</w:t>
            </w:r>
            <w:r>
              <w:rPr>
                <w:rFonts w:hAnsi="宋体"/>
                <w:szCs w:val="21"/>
                <w:highlight w:val="none"/>
              </w:rPr>
              <w:t>第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4.2.2</w:t>
            </w:r>
            <w:r>
              <w:rPr>
                <w:rFonts w:hAnsi="宋体"/>
                <w:szCs w:val="21"/>
                <w:highlight w:val="none"/>
              </w:rPr>
              <w:t>条</w:t>
            </w:r>
          </w:p>
        </w:tc>
        <w:tc>
          <w:tcPr>
            <w:tcW w:w="913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2268" w:type="dxa"/>
            <w:vMerge w:val="continue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6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</w:t>
            </w:r>
          </w:p>
        </w:tc>
        <w:tc>
          <w:tcPr>
            <w:tcW w:w="1911" w:type="dxa"/>
            <w:gridSpan w:val="3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表面质量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b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 xml:space="preserve">GB/T 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4423-2020</w:t>
            </w:r>
            <w:r>
              <w:rPr>
                <w:rFonts w:hAnsi="宋体"/>
                <w:szCs w:val="21"/>
                <w:highlight w:val="none"/>
              </w:rPr>
              <w:t>第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4.6</w:t>
            </w:r>
            <w:r>
              <w:rPr>
                <w:rFonts w:hAnsi="宋体"/>
                <w:szCs w:val="21"/>
                <w:highlight w:val="none"/>
              </w:rPr>
              <w:t>条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B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非主要项目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原样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6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3</w:t>
            </w:r>
          </w:p>
        </w:tc>
        <w:tc>
          <w:tcPr>
            <w:tcW w:w="500" w:type="dxa"/>
            <w:vMerge w:val="restart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力学性能</w:t>
            </w:r>
          </w:p>
        </w:tc>
        <w:tc>
          <w:tcPr>
            <w:tcW w:w="1411" w:type="dxa"/>
            <w:gridSpan w:val="2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抗拉强度</w:t>
            </w:r>
          </w:p>
        </w:tc>
        <w:tc>
          <w:tcPr>
            <w:tcW w:w="1755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 xml:space="preserve">GB/T 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4423-2020</w:t>
            </w:r>
            <w:r>
              <w:rPr>
                <w:rFonts w:hAnsi="宋体"/>
                <w:szCs w:val="21"/>
                <w:highlight w:val="none"/>
              </w:rPr>
              <w:t>第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4.3</w:t>
            </w:r>
            <w:r>
              <w:rPr>
                <w:rFonts w:hAnsi="宋体"/>
                <w:szCs w:val="21"/>
                <w:highlight w:val="none"/>
              </w:rPr>
              <w:t>条</w:t>
            </w:r>
          </w:p>
        </w:tc>
        <w:tc>
          <w:tcPr>
            <w:tcW w:w="913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主要项目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 w:eastAsia="宋体"/>
                <w:szCs w:val="21"/>
                <w:highlight w:val="none"/>
                <w:lang w:eastAsia="zh-CN"/>
              </w:rPr>
            </w:pPr>
            <w:r>
              <w:rPr>
                <w:rFonts w:hint="eastAsia" w:hAnsi="宋体"/>
                <w:szCs w:val="21"/>
                <w:highlight w:val="none"/>
                <w:lang w:eastAsia="zh-CN"/>
              </w:rPr>
              <w:t>备样</w:t>
            </w:r>
          </w:p>
        </w:tc>
        <w:tc>
          <w:tcPr>
            <w:tcW w:w="2268" w:type="dxa"/>
            <w:vMerge w:val="restart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/>
                <w:sz w:val="18"/>
                <w:szCs w:val="18"/>
                <w:highlight w:val="none"/>
                <w:lang w:eastAsia="zh-CN"/>
              </w:rPr>
              <w:t>拉伸试验</w:t>
            </w:r>
            <w:r>
              <w:rPr>
                <w:rFonts w:hAnsi="宋体"/>
                <w:sz w:val="18"/>
                <w:szCs w:val="18"/>
                <w:highlight w:val="none"/>
              </w:rPr>
              <w:t>（抗拉强度、断后伸长率）</w:t>
            </w:r>
            <w:r>
              <w:rPr>
                <w:rFonts w:hint="eastAsia" w:hAnsi="宋体"/>
                <w:sz w:val="18"/>
                <w:szCs w:val="18"/>
                <w:highlight w:val="none"/>
                <w:lang w:eastAsia="zh-CN"/>
              </w:rPr>
              <w:t>和硬度试验二选一，当产品合同中无明确要求时，进行拉伸试验</w:t>
            </w:r>
            <w:r>
              <w:rPr>
                <w:rFonts w:hAnsi="宋体"/>
                <w:sz w:val="18"/>
                <w:szCs w:val="18"/>
                <w:highlight w:val="none"/>
              </w:rPr>
              <w:t>（抗拉强度、断后伸长率）</w:t>
            </w:r>
            <w:r>
              <w:rPr>
                <w:rFonts w:hint="eastAsia" w:hAnsi="宋体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500" w:type="dxa"/>
            <w:vMerge w:val="continue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断后伸长率</w:t>
            </w:r>
          </w:p>
        </w:tc>
        <w:tc>
          <w:tcPr>
            <w:tcW w:w="1755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913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2268" w:type="dxa"/>
            <w:vMerge w:val="continue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6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500" w:type="dxa"/>
            <w:vMerge w:val="continue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1411" w:type="dxa"/>
            <w:gridSpan w:val="2"/>
            <w:noWrap w:val="0"/>
            <w:vAlign w:val="center"/>
          </w:tcPr>
          <w:p>
            <w:pPr>
              <w:pStyle w:val="3"/>
              <w:rPr>
                <w:rFonts w:hint="eastAsia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Ansi="宋体"/>
                <w:szCs w:val="21"/>
                <w:highlight w:val="none"/>
              </w:rPr>
              <w:t>布氏硬度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维氏硬度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/洛氏硬度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 xml:space="preserve">GB/T 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4423-2020</w:t>
            </w:r>
            <w:r>
              <w:rPr>
                <w:rFonts w:hAnsi="宋体"/>
                <w:szCs w:val="21"/>
                <w:highlight w:val="none"/>
              </w:rPr>
              <w:t>第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4.3</w:t>
            </w:r>
            <w:r>
              <w:rPr>
                <w:rFonts w:hAnsi="宋体"/>
                <w:szCs w:val="21"/>
                <w:highlight w:val="none"/>
              </w:rPr>
              <w:t>条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主要</w:t>
            </w:r>
          </w:p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 w:eastAsia="宋体"/>
                <w:szCs w:val="21"/>
                <w:highlight w:val="none"/>
                <w:lang w:eastAsia="zh-CN"/>
              </w:rPr>
            </w:pPr>
            <w:r>
              <w:rPr>
                <w:rFonts w:hint="eastAsia" w:hAnsi="宋体"/>
                <w:szCs w:val="21"/>
                <w:highlight w:val="none"/>
                <w:lang w:eastAsia="zh-CN"/>
              </w:rPr>
              <w:t>备样</w:t>
            </w:r>
          </w:p>
        </w:tc>
        <w:tc>
          <w:tcPr>
            <w:tcW w:w="2268" w:type="dxa"/>
            <w:vMerge w:val="continue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911" w:type="dxa"/>
            <w:gridSpan w:val="3"/>
            <w:noWrap w:val="0"/>
            <w:vAlign w:val="center"/>
          </w:tcPr>
          <w:p>
            <w:pPr>
              <w:pStyle w:val="3"/>
              <w:rPr>
                <w:rFonts w:hint="eastAsia" w:hAnsi="宋体" w:eastAsia="宋体"/>
                <w:szCs w:val="21"/>
                <w:highlight w:val="none"/>
                <w:lang w:eastAsia="zh-CN"/>
              </w:rPr>
            </w:pPr>
            <w:r>
              <w:rPr>
                <w:rFonts w:hAnsi="宋体"/>
                <w:szCs w:val="21"/>
                <w:highlight w:val="none"/>
              </w:rPr>
              <w:t>内部质量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断口检验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 xml:space="preserve">GB/T 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4423-2020</w:t>
            </w:r>
            <w:r>
              <w:rPr>
                <w:rFonts w:hAnsi="宋体"/>
                <w:szCs w:val="21"/>
                <w:highlight w:val="none"/>
              </w:rPr>
              <w:t>第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4.4</w:t>
            </w:r>
            <w:r>
              <w:rPr>
                <w:rFonts w:hAnsi="宋体"/>
                <w:szCs w:val="21"/>
                <w:highlight w:val="none"/>
              </w:rPr>
              <w:t>条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主要项目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原样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6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11" w:type="dxa"/>
            <w:gridSpan w:val="3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  <w:lang w:eastAsia="zh-CN"/>
              </w:rPr>
              <w:t>残余</w:t>
            </w:r>
            <w:r>
              <w:rPr>
                <w:rFonts w:hAnsi="宋体"/>
                <w:szCs w:val="21"/>
                <w:highlight w:val="none"/>
              </w:rPr>
              <w:t>应力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 xml:space="preserve">GB/T 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4423-2020</w:t>
            </w:r>
            <w:r>
              <w:rPr>
                <w:rFonts w:hAnsi="宋体"/>
                <w:szCs w:val="21"/>
                <w:highlight w:val="none"/>
              </w:rPr>
              <w:t>第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4.5</w:t>
            </w:r>
            <w:r>
              <w:rPr>
                <w:rFonts w:hAnsi="宋体"/>
                <w:szCs w:val="21"/>
                <w:highlight w:val="none"/>
              </w:rPr>
              <w:t>条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主要项目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 w:eastAsia="宋体"/>
                <w:szCs w:val="21"/>
                <w:highlight w:val="none"/>
                <w:lang w:eastAsia="zh-CN"/>
              </w:rPr>
            </w:pPr>
            <w:r>
              <w:rPr>
                <w:rFonts w:hint="eastAsia" w:hAnsi="宋体"/>
                <w:szCs w:val="21"/>
                <w:highlight w:val="none"/>
                <w:lang w:eastAsia="zh-CN"/>
              </w:rPr>
              <w:t>原样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3"/>
              <w:rPr>
                <w:rFonts w:hint="eastAsia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highlight w:val="none"/>
                <w:lang w:eastAsia="zh-CN"/>
              </w:rPr>
              <w:t>仅当产品合同中有明确要求时，进行残余</w:t>
            </w:r>
            <w:r>
              <w:rPr>
                <w:rFonts w:hAnsi="宋体"/>
                <w:sz w:val="18"/>
                <w:szCs w:val="18"/>
                <w:highlight w:val="none"/>
              </w:rPr>
              <w:t>应力</w:t>
            </w:r>
            <w:r>
              <w:rPr>
                <w:rFonts w:hint="eastAsia" w:hAnsi="宋体"/>
                <w:sz w:val="18"/>
                <w:szCs w:val="18"/>
                <w:highlight w:val="none"/>
                <w:lang w:eastAsia="zh-CN"/>
              </w:rPr>
              <w:t>试验。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6" w:type="dxa"/>
            <w:noWrap w:val="0"/>
            <w:vAlign w:val="center"/>
          </w:tcPr>
          <w:p>
            <w:pPr>
              <w:pStyle w:val="3"/>
              <w:jc w:val="center"/>
              <w:rPr>
                <w:rFonts w:hint="default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911" w:type="dxa"/>
            <w:gridSpan w:val="3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化学成分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 xml:space="preserve">GB/T </w:t>
            </w:r>
            <w:r>
              <w:rPr>
                <w:rFonts w:hint="eastAsia" w:hAnsi="宋体"/>
                <w:szCs w:val="21"/>
                <w:highlight w:val="none"/>
                <w:lang w:eastAsia="zh-CN"/>
              </w:rPr>
              <w:t>4423-2020</w:t>
            </w:r>
            <w:r>
              <w:rPr>
                <w:rFonts w:hAnsi="宋体"/>
                <w:szCs w:val="21"/>
                <w:highlight w:val="none"/>
              </w:rPr>
              <w:t>第</w:t>
            </w:r>
            <w:r>
              <w:rPr>
                <w:rFonts w:hint="eastAsia" w:hAnsi="宋体"/>
                <w:szCs w:val="21"/>
                <w:highlight w:val="none"/>
                <w:lang w:val="en-US" w:eastAsia="zh-CN"/>
              </w:rPr>
              <w:t>4.1</w:t>
            </w:r>
            <w:r>
              <w:rPr>
                <w:rFonts w:hAnsi="宋体"/>
                <w:szCs w:val="21"/>
                <w:highlight w:val="none"/>
              </w:rPr>
              <w:t>条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主要项目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1段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 w:eastAsia="宋体"/>
                <w:szCs w:val="21"/>
                <w:highlight w:val="none"/>
                <w:lang w:eastAsia="zh-CN"/>
              </w:rPr>
            </w:pPr>
            <w:r>
              <w:rPr>
                <w:rFonts w:hint="eastAsia" w:hAnsi="宋体"/>
                <w:szCs w:val="21"/>
                <w:highlight w:val="none"/>
                <w:lang w:eastAsia="zh-CN"/>
              </w:rPr>
              <w:t>原样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/</w:t>
            </w:r>
          </w:p>
        </w:tc>
      </w:tr>
    </w:tbl>
    <w:p>
      <w:pPr>
        <w:pStyle w:val="3"/>
        <w:snapToGrid w:val="0"/>
        <w:spacing w:line="300" w:lineRule="auto"/>
        <w:rPr>
          <w:rFonts w:hint="eastAsia" w:hAnsi="宋体"/>
          <w:szCs w:val="21"/>
          <w:highlight w:val="none"/>
        </w:rPr>
      </w:pPr>
    </w:p>
    <w:p>
      <w:pPr>
        <w:pStyle w:val="3"/>
        <w:snapToGrid w:val="0"/>
        <w:spacing w:line="300" w:lineRule="auto"/>
        <w:ind w:firstLine="210" w:firstLineChars="100"/>
        <w:jc w:val="center"/>
        <w:rPr>
          <w:rFonts w:hint="eastAsia" w:hAnsi="宋体"/>
          <w:szCs w:val="21"/>
          <w:highlight w:val="none"/>
        </w:rPr>
      </w:pPr>
      <w:r>
        <w:rPr>
          <w:rFonts w:hAnsi="宋体"/>
          <w:szCs w:val="21"/>
          <w:highlight w:val="none"/>
        </w:rPr>
        <w:t>表2</w:t>
      </w:r>
      <w:r>
        <w:rPr>
          <w:rFonts w:hint="eastAsia" w:hAnsi="宋体"/>
          <w:szCs w:val="21"/>
          <w:highlight w:val="none"/>
        </w:rPr>
        <w:t xml:space="preserve">  明示执行标准为</w:t>
      </w:r>
      <w:r>
        <w:rPr>
          <w:rFonts w:hAnsi="宋体"/>
          <w:szCs w:val="21"/>
          <w:highlight w:val="none"/>
        </w:rPr>
        <w:t>YS/T 649-2018</w:t>
      </w:r>
      <w:r>
        <w:rPr>
          <w:rFonts w:hint="eastAsia" w:hAnsi="宋体"/>
          <w:szCs w:val="21"/>
          <w:highlight w:val="none"/>
        </w:rPr>
        <w:t>的检验项目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448"/>
        <w:gridCol w:w="15"/>
        <w:gridCol w:w="1437"/>
        <w:gridCol w:w="1810"/>
        <w:gridCol w:w="901"/>
        <w:gridCol w:w="850"/>
        <w:gridCol w:w="709"/>
        <w:gridCol w:w="850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5" w:type="dxa"/>
            <w:noWrap w:val="0"/>
            <w:vAlign w:val="center"/>
          </w:tcPr>
          <w:p>
            <w:pPr>
              <w:pStyle w:val="3"/>
              <w:spacing w:line="340" w:lineRule="exact"/>
              <w:ind w:right="-71" w:rightChars="-34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序号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检验项目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标准条款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不合格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类别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项目</w:t>
            </w:r>
          </w:p>
          <w:p>
            <w:pPr>
              <w:pStyle w:val="3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设定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样本量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复检用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样品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5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1</w:t>
            </w:r>
          </w:p>
        </w:tc>
        <w:tc>
          <w:tcPr>
            <w:tcW w:w="463" w:type="dxa"/>
            <w:gridSpan w:val="2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尺寸外形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直径/对边距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YS/T 649-2018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第3.3.1条</w:t>
            </w:r>
          </w:p>
        </w:tc>
        <w:tc>
          <w:tcPr>
            <w:tcW w:w="901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B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非主要项目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原样</w:t>
            </w:r>
          </w:p>
        </w:tc>
        <w:tc>
          <w:tcPr>
            <w:tcW w:w="2551" w:type="dxa"/>
            <w:vMerge w:val="restart"/>
            <w:noWrap w:val="0"/>
            <w:vAlign w:val="center"/>
          </w:tcPr>
          <w:p>
            <w:pPr>
              <w:pStyle w:val="3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463" w:type="dxa"/>
            <w:gridSpan w:val="2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圆度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YS/T 649-2018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第3.3.2条</w:t>
            </w:r>
          </w:p>
        </w:tc>
        <w:tc>
          <w:tcPr>
            <w:tcW w:w="901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635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表面质量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YS/T 649-2018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b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第3.6条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B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非主要项目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原样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3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35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3</w:t>
            </w:r>
          </w:p>
        </w:tc>
        <w:tc>
          <w:tcPr>
            <w:tcW w:w="448" w:type="dxa"/>
            <w:vMerge w:val="restart"/>
            <w:noWrap w:val="0"/>
            <w:vAlign w:val="center"/>
          </w:tcPr>
          <w:p>
            <w:pPr>
              <w:pStyle w:val="3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力学性能</w:t>
            </w:r>
          </w:p>
        </w:tc>
        <w:tc>
          <w:tcPr>
            <w:tcW w:w="1452" w:type="dxa"/>
            <w:gridSpan w:val="2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抗拉强度</w:t>
            </w:r>
          </w:p>
        </w:tc>
        <w:tc>
          <w:tcPr>
            <w:tcW w:w="1810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YS/T 649-2018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第3.4条</w:t>
            </w:r>
          </w:p>
        </w:tc>
        <w:tc>
          <w:tcPr>
            <w:tcW w:w="901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主要项目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int="eastAsia" w:hAnsi="宋体" w:eastAsia="宋体"/>
                <w:szCs w:val="21"/>
                <w:highlight w:val="none"/>
                <w:lang w:eastAsia="zh-CN"/>
              </w:rPr>
            </w:pPr>
            <w:r>
              <w:rPr>
                <w:rFonts w:hint="eastAsia" w:hAnsi="宋体"/>
                <w:szCs w:val="21"/>
                <w:highlight w:val="none"/>
                <w:lang w:eastAsia="zh-CN"/>
              </w:rPr>
              <w:t>备样</w:t>
            </w:r>
          </w:p>
        </w:tc>
        <w:tc>
          <w:tcPr>
            <w:tcW w:w="2551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 w:eastAsia="宋体" w:cs="Times New Roman"/>
                <w:sz w:val="18"/>
                <w:szCs w:val="18"/>
                <w:highlight w:val="none"/>
                <w:lang w:eastAsia="zh-CN"/>
              </w:rPr>
              <w:t>拉伸试验（抗拉强度、断后伸长率）、硬度试验任选其一进行检验，无产品合同或产品合同中未作特别说明时，应进行拉伸试验（抗拉强度、断后伸长率）。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448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1452" w:type="dxa"/>
            <w:gridSpan w:val="2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断后伸长率</w:t>
            </w:r>
          </w:p>
        </w:tc>
        <w:tc>
          <w:tcPr>
            <w:tcW w:w="1810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901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2551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448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1452" w:type="dxa"/>
            <w:gridSpan w:val="2"/>
            <w:noWrap w:val="0"/>
            <w:vAlign w:val="center"/>
          </w:tcPr>
          <w:p>
            <w:pPr>
              <w:pStyle w:val="3"/>
              <w:spacing w:line="340" w:lineRule="exact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布氏</w:t>
            </w:r>
            <w:r>
              <w:rPr>
                <w:rFonts w:hAnsi="宋体"/>
                <w:szCs w:val="21"/>
                <w:highlight w:val="none"/>
              </w:rPr>
              <w:t>硬度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YS/T 649-2018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第3.4条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主要项目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int="eastAsia" w:hAnsi="宋体" w:eastAsia="宋体"/>
                <w:szCs w:val="21"/>
                <w:highlight w:val="none"/>
                <w:lang w:eastAsia="zh-CN"/>
              </w:rPr>
            </w:pPr>
            <w:r>
              <w:rPr>
                <w:rFonts w:hint="eastAsia" w:hAnsi="宋体"/>
                <w:szCs w:val="21"/>
                <w:highlight w:val="none"/>
                <w:lang w:eastAsia="zh-CN"/>
              </w:rPr>
              <w:t>备样</w:t>
            </w:r>
          </w:p>
        </w:tc>
        <w:tc>
          <w:tcPr>
            <w:tcW w:w="2551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5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4</w:t>
            </w:r>
          </w:p>
        </w:tc>
        <w:tc>
          <w:tcPr>
            <w:tcW w:w="448" w:type="dxa"/>
            <w:vMerge w:val="restart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内部质量</w:t>
            </w:r>
          </w:p>
        </w:tc>
        <w:tc>
          <w:tcPr>
            <w:tcW w:w="1452" w:type="dxa"/>
            <w:gridSpan w:val="2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低倍组织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YS/T 649-2018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第3.5条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主要项目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原样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3"/>
              <w:spacing w:line="340" w:lineRule="exact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5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448" w:type="dxa"/>
            <w:vMerge w:val="continue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1452" w:type="dxa"/>
            <w:gridSpan w:val="2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断口检验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YS/T 649-2018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第3.5条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主要项目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2段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原样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3"/>
              <w:spacing w:line="340" w:lineRule="exact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35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5</w:t>
            </w:r>
          </w:p>
        </w:tc>
        <w:tc>
          <w:tcPr>
            <w:tcW w:w="1900" w:type="dxa"/>
            <w:gridSpan w:val="3"/>
            <w:noWrap w:val="0"/>
            <w:vAlign w:val="center"/>
          </w:tcPr>
          <w:p>
            <w:pPr>
              <w:pStyle w:val="3"/>
              <w:spacing w:line="340" w:lineRule="exact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化学成分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YS/T 649-2018</w:t>
            </w:r>
          </w:p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第4.1条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A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主要项目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Ansi="宋体"/>
                <w:szCs w:val="21"/>
                <w:highlight w:val="none"/>
              </w:rPr>
              <w:t>1段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pStyle w:val="3"/>
              <w:spacing w:line="340" w:lineRule="exact"/>
              <w:jc w:val="center"/>
              <w:rPr>
                <w:rFonts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原样</w:t>
            </w:r>
          </w:p>
        </w:tc>
        <w:tc>
          <w:tcPr>
            <w:tcW w:w="2551" w:type="dxa"/>
            <w:noWrap w:val="0"/>
            <w:vAlign w:val="center"/>
          </w:tcPr>
          <w:p>
            <w:pPr>
              <w:pStyle w:val="3"/>
              <w:spacing w:line="340" w:lineRule="exact"/>
              <w:rPr>
                <w:rFonts w:hint="eastAsia" w:hAnsi="宋体"/>
                <w:szCs w:val="21"/>
                <w:highlight w:val="none"/>
              </w:rPr>
            </w:pPr>
            <w:r>
              <w:rPr>
                <w:rFonts w:hint="eastAsia" w:hAnsi="宋体"/>
                <w:szCs w:val="21"/>
                <w:highlight w:val="none"/>
              </w:rPr>
              <w:t>/</w:t>
            </w:r>
          </w:p>
        </w:tc>
      </w:tr>
    </w:tbl>
    <w:p>
      <w:pPr>
        <w:pStyle w:val="3"/>
        <w:snapToGrid w:val="0"/>
        <w:spacing w:line="300" w:lineRule="auto"/>
        <w:rPr>
          <w:rFonts w:hint="eastAsia" w:hAnsi="宋体" w:eastAsia="宋体"/>
          <w:szCs w:val="21"/>
          <w:highlight w:val="none"/>
          <w:lang w:eastAsia="zh-CN"/>
        </w:rPr>
      </w:pPr>
      <w:r>
        <w:rPr>
          <w:rFonts w:hint="eastAsia" w:hAnsi="宋体"/>
          <w:szCs w:val="21"/>
          <w:highlight w:val="none"/>
        </w:rPr>
        <w:t>注：执行企业标准、团体标准、地方标准的产品，检验项目参照上述内容执行</w:t>
      </w:r>
      <w:r>
        <w:rPr>
          <w:rFonts w:hint="eastAsia" w:hAnsi="宋体"/>
          <w:szCs w:val="21"/>
          <w:highlight w:val="none"/>
          <w:lang w:eastAsia="zh-CN"/>
        </w:rPr>
        <w:t>。</w:t>
      </w:r>
    </w:p>
    <w:p>
      <w:pPr>
        <w:pStyle w:val="3"/>
        <w:rPr>
          <w:rFonts w:ascii="Times New Roman" w:hAnsi="Times New Roman" w:cs="Times New Roman"/>
        </w:rPr>
      </w:pPr>
    </w:p>
    <w:p>
      <w:pPr>
        <w:spacing w:before="156" w:beforeLines="50"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3 判定规则</w:t>
      </w:r>
    </w:p>
    <w:p>
      <w:pPr>
        <w:snapToGrid w:val="0"/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>3.1依据标准</w:t>
      </w:r>
    </w:p>
    <w:p>
      <w:pPr>
        <w:pStyle w:val="3"/>
        <w:snapToGrid w:val="0"/>
        <w:spacing w:line="276" w:lineRule="auto"/>
        <w:ind w:firstLine="400"/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>GB/T 4423-20</w:t>
      </w:r>
      <w:r>
        <w:rPr>
          <w:rFonts w:hint="eastAsia" w:ascii="Times New Roman" w:hAnsi="Times New Roman"/>
          <w:highlight w:val="none"/>
          <w:lang w:val="en-US" w:eastAsia="zh-CN"/>
        </w:rPr>
        <w:t>20</w:t>
      </w:r>
      <w:r>
        <w:rPr>
          <w:rFonts w:ascii="Times New Roman" w:hAnsi="Times New Roman"/>
          <w:highlight w:val="none"/>
        </w:rPr>
        <w:t xml:space="preserve">   铜及铜合金拉制棒</w:t>
      </w:r>
    </w:p>
    <w:p>
      <w:pPr>
        <w:pStyle w:val="3"/>
        <w:snapToGrid w:val="0"/>
        <w:spacing w:line="276" w:lineRule="auto"/>
        <w:ind w:firstLine="400"/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>YS/T 649-2018    铜及铜合金挤制棒</w:t>
      </w:r>
    </w:p>
    <w:p>
      <w:pPr>
        <w:snapToGrid w:val="0"/>
        <w:spacing w:line="440" w:lineRule="exact"/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>产品明示质量指标及法律、法规、规章的有关规定</w:t>
      </w:r>
    </w:p>
    <w:p>
      <w:pPr>
        <w:snapToGrid w:val="0"/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>3.2判定原则</w:t>
      </w:r>
    </w:p>
    <w:p>
      <w:pPr>
        <w:adjustRightInd w:val="0"/>
        <w:snapToGrid w:val="0"/>
        <w:spacing w:line="264" w:lineRule="auto"/>
        <w:ind w:firstLine="420" w:firstLineChars="200"/>
        <w:rPr>
          <w:kern w:val="0"/>
          <w:highlight w:val="none"/>
        </w:rPr>
      </w:pPr>
      <w:r>
        <w:rPr>
          <w:kern w:val="0"/>
          <w:highlight w:val="none"/>
        </w:rPr>
        <w:t>（一）判定总则</w:t>
      </w:r>
    </w:p>
    <w:p>
      <w:pPr>
        <w:adjustRightInd w:val="0"/>
        <w:snapToGrid w:val="0"/>
        <w:spacing w:line="264" w:lineRule="auto"/>
        <w:ind w:firstLine="420" w:firstLineChars="200"/>
        <w:rPr>
          <w:kern w:val="0"/>
          <w:highlight w:val="none"/>
        </w:rPr>
      </w:pPr>
      <w:r>
        <w:rPr>
          <w:kern w:val="0"/>
          <w:highlight w:val="none"/>
        </w:rPr>
        <w:t>1.当产品的国家、行业、地方强制性标准（含国家、行业、地方推荐性标准中的强制性条款）和执行的企业标准（含明示质量指标）各技术要求不一致时，应按其中最严要求进行质量判定。</w:t>
      </w:r>
    </w:p>
    <w:p>
      <w:pPr>
        <w:adjustRightInd w:val="0"/>
        <w:snapToGrid w:val="0"/>
        <w:spacing w:line="264" w:lineRule="auto"/>
        <w:ind w:firstLine="420" w:firstLineChars="200"/>
        <w:rPr>
          <w:kern w:val="0"/>
          <w:highlight w:val="none"/>
        </w:rPr>
      </w:pPr>
      <w:r>
        <w:rPr>
          <w:kern w:val="0"/>
          <w:highlight w:val="none"/>
        </w:rPr>
        <w:t>2.当产品执行国家、行业、地方标准时,按国家、行业、地方标准要求进行质量判定。</w:t>
      </w:r>
    </w:p>
    <w:p>
      <w:pPr>
        <w:adjustRightInd w:val="0"/>
        <w:snapToGrid w:val="0"/>
        <w:spacing w:line="264" w:lineRule="auto"/>
        <w:ind w:firstLine="420" w:firstLineChars="200"/>
        <w:rPr>
          <w:kern w:val="0"/>
          <w:highlight w:val="none"/>
        </w:rPr>
      </w:pPr>
      <w:r>
        <w:rPr>
          <w:kern w:val="0"/>
          <w:highlight w:val="none"/>
        </w:rPr>
        <w:t>3.当产品执行企业标准（含明示质量指标）时，按其企业标准要求进行质量判定，但如主要项目技术要求低于国家、行业、推荐性标准要求（含国家、行业、地方强制性标准中的推荐性条款）时，应在检验报告中注明主要项目的实测值和标准值。</w:t>
      </w:r>
    </w:p>
    <w:p>
      <w:pPr>
        <w:adjustRightInd w:val="0"/>
        <w:snapToGrid w:val="0"/>
        <w:spacing w:line="264" w:lineRule="auto"/>
        <w:ind w:firstLine="420" w:firstLineChars="200"/>
        <w:jc w:val="left"/>
        <w:rPr>
          <w:szCs w:val="24"/>
          <w:highlight w:val="none"/>
        </w:rPr>
      </w:pPr>
      <w:r>
        <w:rPr>
          <w:szCs w:val="24"/>
          <w:highlight w:val="none"/>
        </w:rPr>
        <w:t>（二）单项质量判定</w:t>
      </w:r>
    </w:p>
    <w:p>
      <w:pPr>
        <w:pStyle w:val="3"/>
        <w:adjustRightInd w:val="0"/>
        <w:snapToGrid w:val="0"/>
        <w:spacing w:line="264" w:lineRule="auto"/>
        <w:ind w:firstLine="403"/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>当所检项目检验结果符合执行标准中该项目要求时，判该项目为符合执行标准要求；否则判该项目为不符合执行标准要求。</w:t>
      </w:r>
    </w:p>
    <w:p>
      <w:pPr>
        <w:adjustRightInd w:val="0"/>
        <w:snapToGrid w:val="0"/>
        <w:spacing w:line="264" w:lineRule="auto"/>
        <w:ind w:firstLine="420" w:firstLineChars="200"/>
        <w:jc w:val="left"/>
        <w:rPr>
          <w:highlight w:val="none"/>
        </w:rPr>
      </w:pPr>
      <w:r>
        <w:rPr>
          <w:highlight w:val="none"/>
        </w:rPr>
        <w:t>（三）综合质量判定</w:t>
      </w:r>
    </w:p>
    <w:p>
      <w:pPr>
        <w:spacing w:line="264" w:lineRule="auto"/>
        <w:ind w:firstLine="420" w:firstLineChars="200"/>
        <w:rPr>
          <w:highlight w:val="none"/>
        </w:rPr>
      </w:pPr>
      <w:r>
        <w:rPr>
          <w:highlight w:val="none"/>
        </w:rPr>
        <w:t>1.检验样本中一个或一个以上项目出现不符合执行要求判定的，则检验结论为“不合格”。</w:t>
      </w:r>
    </w:p>
    <w:p>
      <w:pPr>
        <w:spacing w:line="264" w:lineRule="auto"/>
        <w:ind w:firstLine="420" w:firstLineChars="200"/>
        <w:rPr>
          <w:highlight w:val="none"/>
        </w:rPr>
      </w:pPr>
      <w:r>
        <w:rPr>
          <w:highlight w:val="none"/>
        </w:rPr>
        <w:t>2.产品符合执行标准要求，且所检主要项目的检验结果符合国家、行业、地方标准中推荐性条款要求的，检验结论为“所检项目符合本次监督抽查要求”。</w:t>
      </w:r>
    </w:p>
    <w:p>
      <w:pPr>
        <w:adjustRightInd w:val="0"/>
        <w:snapToGrid w:val="0"/>
        <w:spacing w:line="264" w:lineRule="auto"/>
        <w:rPr>
          <w:szCs w:val="21"/>
        </w:rPr>
      </w:pPr>
      <w:r>
        <w:rPr>
          <w:highlight w:val="none"/>
        </w:rPr>
        <w:t>3.产品符合执行标准要求，但所检主要项目的检验结果出现一个或一个以上低于国家、行业、地方标准中推荐性条款要求的，检验结论为“所检项目符合企业标准，未达到国家、行业、地方标准规定”。</w:t>
      </w:r>
      <w:bookmarkStart w:id="0" w:name="_GoBack"/>
      <w:bookmarkEnd w:id="0"/>
    </w:p>
    <w:p>
      <w:pPr>
        <w:snapToGrid w:val="0"/>
        <w:spacing w:line="440" w:lineRule="exact"/>
        <w:ind w:firstLine="417" w:firstLineChars="199"/>
        <w:rPr>
          <w:color w:val="000000"/>
          <w:szCs w:val="21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985" w:right="1474" w:bottom="1644" w:left="1474" w:header="851" w:footer="11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Yjk3ZTI3NjEwN2E2ZGFkMmNlNGQ0ZDA3YTkzYWIifQ=="/>
  </w:docVars>
  <w:rsids>
    <w:rsidRoot w:val="00172A27"/>
    <w:rsid w:val="00012EEB"/>
    <w:rsid w:val="00051A44"/>
    <w:rsid w:val="00052092"/>
    <w:rsid w:val="00055C43"/>
    <w:rsid w:val="00063F78"/>
    <w:rsid w:val="000770C5"/>
    <w:rsid w:val="00081CBD"/>
    <w:rsid w:val="0008480D"/>
    <w:rsid w:val="0009216E"/>
    <w:rsid w:val="000976DE"/>
    <w:rsid w:val="000A0A61"/>
    <w:rsid w:val="000B7E87"/>
    <w:rsid w:val="000C27EF"/>
    <w:rsid w:val="000E2DE0"/>
    <w:rsid w:val="000F14E9"/>
    <w:rsid w:val="00125916"/>
    <w:rsid w:val="001565C3"/>
    <w:rsid w:val="00172A27"/>
    <w:rsid w:val="001809DD"/>
    <w:rsid w:val="00197642"/>
    <w:rsid w:val="001A51E1"/>
    <w:rsid w:val="001F3D40"/>
    <w:rsid w:val="00205BC7"/>
    <w:rsid w:val="00247E11"/>
    <w:rsid w:val="002501F8"/>
    <w:rsid w:val="00253624"/>
    <w:rsid w:val="002627EB"/>
    <w:rsid w:val="00273AE5"/>
    <w:rsid w:val="00275517"/>
    <w:rsid w:val="002A25C4"/>
    <w:rsid w:val="002D7F8A"/>
    <w:rsid w:val="002E0D1D"/>
    <w:rsid w:val="002E4610"/>
    <w:rsid w:val="003203A3"/>
    <w:rsid w:val="00392BF9"/>
    <w:rsid w:val="003B33A1"/>
    <w:rsid w:val="003B65A7"/>
    <w:rsid w:val="003C08F8"/>
    <w:rsid w:val="003C388C"/>
    <w:rsid w:val="003C4EF1"/>
    <w:rsid w:val="003D62CE"/>
    <w:rsid w:val="003D6DF1"/>
    <w:rsid w:val="003E011E"/>
    <w:rsid w:val="003E61BF"/>
    <w:rsid w:val="003F7F34"/>
    <w:rsid w:val="00400560"/>
    <w:rsid w:val="00445E86"/>
    <w:rsid w:val="0045059C"/>
    <w:rsid w:val="00467E74"/>
    <w:rsid w:val="00474E04"/>
    <w:rsid w:val="00483AC6"/>
    <w:rsid w:val="004A0936"/>
    <w:rsid w:val="004D0C5A"/>
    <w:rsid w:val="004D31EC"/>
    <w:rsid w:val="004E02D3"/>
    <w:rsid w:val="004E1396"/>
    <w:rsid w:val="004E7C02"/>
    <w:rsid w:val="004F261B"/>
    <w:rsid w:val="005328AC"/>
    <w:rsid w:val="00551B06"/>
    <w:rsid w:val="005623DE"/>
    <w:rsid w:val="00563EBC"/>
    <w:rsid w:val="005868F9"/>
    <w:rsid w:val="00593498"/>
    <w:rsid w:val="005A1399"/>
    <w:rsid w:val="005A34AC"/>
    <w:rsid w:val="005B64D3"/>
    <w:rsid w:val="005D0F42"/>
    <w:rsid w:val="005F4CC6"/>
    <w:rsid w:val="00634C4F"/>
    <w:rsid w:val="006440C7"/>
    <w:rsid w:val="00661CE9"/>
    <w:rsid w:val="006734CA"/>
    <w:rsid w:val="00673C07"/>
    <w:rsid w:val="006A5215"/>
    <w:rsid w:val="006F0971"/>
    <w:rsid w:val="0072334C"/>
    <w:rsid w:val="0074501E"/>
    <w:rsid w:val="007752EB"/>
    <w:rsid w:val="007A5C0E"/>
    <w:rsid w:val="007B75EE"/>
    <w:rsid w:val="007C3667"/>
    <w:rsid w:val="007F583F"/>
    <w:rsid w:val="008139C8"/>
    <w:rsid w:val="0082012D"/>
    <w:rsid w:val="0084012D"/>
    <w:rsid w:val="0087041A"/>
    <w:rsid w:val="00871617"/>
    <w:rsid w:val="008726BF"/>
    <w:rsid w:val="00895BEA"/>
    <w:rsid w:val="008A3497"/>
    <w:rsid w:val="008A61A4"/>
    <w:rsid w:val="008B1BD3"/>
    <w:rsid w:val="008C50E2"/>
    <w:rsid w:val="008E39B1"/>
    <w:rsid w:val="00916926"/>
    <w:rsid w:val="00916BE5"/>
    <w:rsid w:val="00917A54"/>
    <w:rsid w:val="00920DA2"/>
    <w:rsid w:val="00926C29"/>
    <w:rsid w:val="00930572"/>
    <w:rsid w:val="00936B2A"/>
    <w:rsid w:val="00944A63"/>
    <w:rsid w:val="00967C26"/>
    <w:rsid w:val="009865FB"/>
    <w:rsid w:val="009C6AE2"/>
    <w:rsid w:val="009E01DE"/>
    <w:rsid w:val="009F7375"/>
    <w:rsid w:val="00A1287B"/>
    <w:rsid w:val="00A25C52"/>
    <w:rsid w:val="00A26C6B"/>
    <w:rsid w:val="00A371F4"/>
    <w:rsid w:val="00A42847"/>
    <w:rsid w:val="00A43553"/>
    <w:rsid w:val="00A62E74"/>
    <w:rsid w:val="00A760C9"/>
    <w:rsid w:val="00A76D9F"/>
    <w:rsid w:val="00A80009"/>
    <w:rsid w:val="00A83893"/>
    <w:rsid w:val="00A902CC"/>
    <w:rsid w:val="00AA128C"/>
    <w:rsid w:val="00B3329E"/>
    <w:rsid w:val="00B5743B"/>
    <w:rsid w:val="00BA20EF"/>
    <w:rsid w:val="00BC52DB"/>
    <w:rsid w:val="00BF24FC"/>
    <w:rsid w:val="00BF5D64"/>
    <w:rsid w:val="00BF76DB"/>
    <w:rsid w:val="00C26074"/>
    <w:rsid w:val="00C34757"/>
    <w:rsid w:val="00C44CD6"/>
    <w:rsid w:val="00C626EC"/>
    <w:rsid w:val="00C83B0A"/>
    <w:rsid w:val="00C924E8"/>
    <w:rsid w:val="00CC137A"/>
    <w:rsid w:val="00CC195A"/>
    <w:rsid w:val="00CD37A8"/>
    <w:rsid w:val="00CE1E0C"/>
    <w:rsid w:val="00CE277E"/>
    <w:rsid w:val="00D120FA"/>
    <w:rsid w:val="00D1237C"/>
    <w:rsid w:val="00D50D7D"/>
    <w:rsid w:val="00D56867"/>
    <w:rsid w:val="00D7436E"/>
    <w:rsid w:val="00DE2075"/>
    <w:rsid w:val="00E02A7F"/>
    <w:rsid w:val="00E07880"/>
    <w:rsid w:val="00E53438"/>
    <w:rsid w:val="00E82621"/>
    <w:rsid w:val="00EA3D96"/>
    <w:rsid w:val="00ED4450"/>
    <w:rsid w:val="00ED5419"/>
    <w:rsid w:val="00ED6985"/>
    <w:rsid w:val="00F1455F"/>
    <w:rsid w:val="00F332B6"/>
    <w:rsid w:val="00F5372E"/>
    <w:rsid w:val="00F57D43"/>
    <w:rsid w:val="00F77C9A"/>
    <w:rsid w:val="00F86832"/>
    <w:rsid w:val="00FA47C4"/>
    <w:rsid w:val="00FB576C"/>
    <w:rsid w:val="00FD2AA6"/>
    <w:rsid w:val="00FE14EF"/>
    <w:rsid w:val="00FE7E8A"/>
    <w:rsid w:val="00FF5DCC"/>
    <w:rsid w:val="045917D2"/>
    <w:rsid w:val="09234C9E"/>
    <w:rsid w:val="0BF3562B"/>
    <w:rsid w:val="11473DDB"/>
    <w:rsid w:val="17B865FB"/>
    <w:rsid w:val="1A784B4A"/>
    <w:rsid w:val="1B9113EA"/>
    <w:rsid w:val="1FCA6F35"/>
    <w:rsid w:val="2B146CC8"/>
    <w:rsid w:val="56FD6278"/>
    <w:rsid w:val="575527A0"/>
    <w:rsid w:val="59E81116"/>
    <w:rsid w:val="5DB234E3"/>
    <w:rsid w:val="631E53A1"/>
    <w:rsid w:val="636B2161"/>
    <w:rsid w:val="6F917C18"/>
    <w:rsid w:val="6FE07B46"/>
    <w:rsid w:val="7B0B018A"/>
    <w:rsid w:val="7C782283"/>
    <w:rsid w:val="7EDB396C"/>
    <w:rsid w:val="7EEB53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Plain Text"/>
    <w:basedOn w:val="1"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autoRedefine/>
    <w:qFormat/>
    <w:uiPriority w:val="0"/>
  </w:style>
  <w:style w:type="character" w:customStyle="1" w:styleId="10">
    <w:name w:val="页脚 字符"/>
    <w:basedOn w:val="8"/>
    <w:link w:val="5"/>
    <w:autoRedefine/>
    <w:qFormat/>
    <w:uiPriority w:val="99"/>
    <w:rPr>
      <w:kern w:val="2"/>
      <w:sz w:val="18"/>
      <w:szCs w:val="18"/>
    </w:rPr>
  </w:style>
  <w:style w:type="character" w:customStyle="1" w:styleId="11">
    <w:name w:val="页眉 字符"/>
    <w:basedOn w:val="8"/>
    <w:link w:val="6"/>
    <w:autoRedefine/>
    <w:semiHidden/>
    <w:qFormat/>
    <w:uiPriority w:val="99"/>
    <w:rPr>
      <w:kern w:val="2"/>
      <w:sz w:val="18"/>
      <w:szCs w:val="18"/>
    </w:rPr>
  </w:style>
  <w:style w:type="paragraph" w:customStyle="1" w:styleId="1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字符"/>
    <w:basedOn w:val="8"/>
    <w:link w:val="4"/>
    <w:autoRedefine/>
    <w:semiHidden/>
    <w:qFormat/>
    <w:uiPriority w:val="99"/>
    <w:rPr>
      <w:kern w:val="2"/>
      <w:sz w:val="18"/>
      <w:szCs w:val="18"/>
    </w:rPr>
  </w:style>
  <w:style w:type="paragraph" w:customStyle="1" w:styleId="14">
    <w:name w:val="p17"/>
    <w:basedOn w:val="1"/>
    <w:autoRedefine/>
    <w:qFormat/>
    <w:uiPriority w:val="0"/>
    <w:pPr>
      <w:widowControl/>
    </w:pPr>
    <w:rPr>
      <w:color w:val="000000"/>
      <w:kern w:val="0"/>
      <w:szCs w:val="21"/>
    </w:rPr>
  </w:style>
  <w:style w:type="character" w:customStyle="1" w:styleId="15">
    <w:name w:val="个人答复风格"/>
    <w:autoRedefine/>
    <w:qFormat/>
    <w:uiPriority w:val="0"/>
    <w:rPr>
      <w:rFonts w:ascii="Arial" w:hAnsi="Arial" w:eastAsia="宋体"/>
      <w:color w:val="auto"/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Legend (Beijing) Limited</Company>
  <Pages>3</Pages>
  <Words>289</Words>
  <Characters>1650</Characters>
  <Lines>13</Lines>
  <Paragraphs>3</Paragraphs>
  <TotalTime>0</TotalTime>
  <ScaleCrop>false</ScaleCrop>
  <LinksUpToDate>false</LinksUpToDate>
  <CharactersWithSpaces>1936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2024-01-16T23:40:00Z</dcterms:created>
  <dc:creator>Legend User</dc:creator>
  <cp:lastModifiedBy>春天的信使</cp:lastModifiedBy>
  <cp:lastPrinted>2019-12-26T06:50:00Z</cp:lastPrinted>
  <dcterms:modified xsi:type="dcterms:W3CDTF">2024-04-12T04:44:23Z</dcterms:modified>
  <dc:title>××产品质量监督抽查实施细则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2CEE19872F1B4FBB87CC710A7FB6C7C3_13</vt:lpwstr>
  </property>
</Properties>
</file>