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eastAsia="方正小标宋简体" w:cs="方正仿宋简体"/>
          <w:color w:val="000000"/>
          <w:spacing w:val="-4"/>
          <w:sz w:val="32"/>
          <w:szCs w:val="32"/>
        </w:rPr>
      </w:pPr>
      <w:r>
        <w:rPr>
          <w:rFonts w:hint="eastAsia" w:eastAsia="方正小标宋简体" w:cs="方正仿宋简体"/>
          <w:color w:val="000000"/>
          <w:spacing w:val="-4"/>
          <w:sz w:val="32"/>
          <w:szCs w:val="32"/>
          <w:lang w:eastAsia="zh-CN"/>
        </w:rPr>
        <w:t>宁波市</w:t>
      </w:r>
      <w:r>
        <w:rPr>
          <w:rFonts w:hint="eastAsia" w:eastAsia="方正小标宋简体" w:cs="方正仿宋简体"/>
          <w:color w:val="000000"/>
          <w:spacing w:val="-4"/>
          <w:sz w:val="32"/>
          <w:szCs w:val="32"/>
        </w:rPr>
        <w:t>电动自行车</w:t>
      </w:r>
      <w:r>
        <w:rPr>
          <w:rFonts w:hint="eastAsia" w:eastAsia="方正小标宋简体" w:cs="方正仿宋简体"/>
          <w:color w:val="000000"/>
          <w:spacing w:val="-4"/>
          <w:sz w:val="32"/>
          <w:szCs w:val="32"/>
          <w:lang w:eastAsia="zh-CN"/>
        </w:rPr>
        <w:t>用</w:t>
      </w:r>
      <w:r>
        <w:rPr>
          <w:rFonts w:hint="eastAsia" w:eastAsia="方正小标宋简体" w:cs="方正仿宋简体"/>
          <w:color w:val="000000"/>
          <w:spacing w:val="-4"/>
          <w:sz w:val="32"/>
          <w:szCs w:val="32"/>
        </w:rPr>
        <w:t>充电器产品质量监督抽查</w:t>
      </w:r>
    </w:p>
    <w:p>
      <w:pPr>
        <w:adjustRightInd w:val="0"/>
        <w:snapToGrid w:val="0"/>
        <w:spacing w:line="440" w:lineRule="exact"/>
        <w:jc w:val="center"/>
        <w:rPr>
          <w:rFonts w:hint="eastAsia" w:eastAsia="方正小标宋简体"/>
          <w:sz w:val="32"/>
          <w:szCs w:val="32"/>
        </w:rPr>
      </w:pPr>
      <w:r>
        <w:rPr>
          <w:rFonts w:hint="eastAsia" w:eastAsia="方正小标宋简体" w:cs="方正仿宋简体"/>
          <w:color w:val="000000"/>
          <w:spacing w:val="-4"/>
          <w:sz w:val="32"/>
          <w:szCs w:val="32"/>
        </w:rPr>
        <w:t>实施细则</w:t>
      </w:r>
      <w:r>
        <w:rPr>
          <w:rFonts w:hint="eastAsia" w:eastAsia="方正小标宋简体" w:cs="方正仿宋简体"/>
          <w:color w:val="000000"/>
          <w:sz w:val="32"/>
          <w:szCs w:val="32"/>
        </w:rPr>
        <w:t>（202</w:t>
      </w:r>
      <w:r>
        <w:rPr>
          <w:rFonts w:eastAsia="方正小标宋简体" w:cs="方正仿宋简体"/>
          <w:color w:val="000000"/>
          <w:sz w:val="32"/>
          <w:szCs w:val="32"/>
        </w:rPr>
        <w:t>4</w:t>
      </w:r>
      <w:r>
        <w:rPr>
          <w:rFonts w:hint="eastAsia" w:eastAsia="方正小标宋简体" w:cs="方正仿宋简体"/>
          <w:color w:val="000000"/>
          <w:sz w:val="32"/>
          <w:szCs w:val="32"/>
        </w:rPr>
        <w:t>年版）</w:t>
      </w:r>
    </w:p>
    <w:p>
      <w:pPr>
        <w:snapToGrid w:val="0"/>
        <w:spacing w:line="440" w:lineRule="exact"/>
        <w:rPr>
          <w:rFonts w:eastAsia="黑体"/>
          <w:szCs w:val="21"/>
        </w:rPr>
      </w:pPr>
      <w:r>
        <w:rPr>
          <w:rFonts w:eastAsia="黑体"/>
          <w:szCs w:val="21"/>
        </w:rPr>
        <w:t>1 抽样方法</w:t>
      </w:r>
    </w:p>
    <w:p>
      <w:pPr>
        <w:snapToGrid w:val="0"/>
        <w:spacing w:line="440" w:lineRule="exact"/>
        <w:ind w:firstLine="420" w:firstLineChars="200"/>
        <w:rPr>
          <w:szCs w:val="21"/>
        </w:rPr>
      </w:pPr>
      <w:r>
        <w:rPr>
          <w:szCs w:val="21"/>
        </w:rPr>
        <w:t>以随机抽样的方式在被抽样生产者、销售者的待销产品中抽取。</w:t>
      </w:r>
    </w:p>
    <w:p>
      <w:pPr>
        <w:snapToGrid w:val="0"/>
        <w:spacing w:line="440" w:lineRule="exact"/>
        <w:ind w:firstLine="420" w:firstLineChars="200"/>
        <w:rPr>
          <w:szCs w:val="21"/>
        </w:rPr>
      </w:pPr>
      <w:r>
        <w:rPr>
          <w:szCs w:val="21"/>
        </w:rPr>
        <w:t>随机数一般可使用随机数表等方法产生。</w:t>
      </w:r>
    </w:p>
    <w:p>
      <w:pPr>
        <w:snapToGrid w:val="0"/>
        <w:spacing w:line="440" w:lineRule="exact"/>
        <w:ind w:firstLine="420" w:firstLineChars="200"/>
        <w:rPr>
          <w:szCs w:val="21"/>
        </w:rPr>
      </w:pPr>
      <w:r>
        <w:rPr>
          <w:szCs w:val="21"/>
        </w:rPr>
        <w:t>每批次样品抽取</w:t>
      </w:r>
      <w:r>
        <w:rPr>
          <w:rFonts w:hint="eastAsia"/>
          <w:szCs w:val="21"/>
        </w:rPr>
        <w:t>3</w:t>
      </w:r>
      <w:r>
        <w:rPr>
          <w:szCs w:val="21"/>
        </w:rPr>
        <w:t>只，其中2只作为检验样品，</w:t>
      </w:r>
      <w:r>
        <w:rPr>
          <w:rFonts w:hint="eastAsia"/>
          <w:szCs w:val="21"/>
        </w:rPr>
        <w:t>1</w:t>
      </w:r>
      <w:r>
        <w:rPr>
          <w:szCs w:val="21"/>
        </w:rPr>
        <w:t>只作为备用样品。</w:t>
      </w:r>
    </w:p>
    <w:p>
      <w:pPr>
        <w:snapToGrid w:val="0"/>
        <w:spacing w:line="440" w:lineRule="exact"/>
        <w:rPr>
          <w:rFonts w:eastAsia="黑体"/>
          <w:szCs w:val="21"/>
        </w:rPr>
      </w:pPr>
      <w:bookmarkStart w:id="0" w:name="_GoBack"/>
      <w:bookmarkEnd w:id="0"/>
    </w:p>
    <w:p>
      <w:pPr>
        <w:snapToGrid w:val="0"/>
        <w:spacing w:line="440" w:lineRule="exact"/>
        <w:rPr>
          <w:rFonts w:eastAsia="黑体"/>
          <w:szCs w:val="21"/>
        </w:rPr>
      </w:pPr>
      <w:r>
        <w:rPr>
          <w:rFonts w:eastAsia="黑体"/>
          <w:szCs w:val="21"/>
        </w:rPr>
        <w:t>2 检验依据</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4126"/>
        <w:gridCol w:w="4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524" w:type="pct"/>
            <w:noWrap w:val="0"/>
            <w:vAlign w:val="center"/>
          </w:tcPr>
          <w:p>
            <w:pPr>
              <w:snapToGrid w:val="0"/>
              <w:jc w:val="center"/>
              <w:rPr>
                <w:szCs w:val="21"/>
              </w:rPr>
            </w:pPr>
            <w:r>
              <w:rPr>
                <w:szCs w:val="21"/>
              </w:rPr>
              <w:t>序号</w:t>
            </w:r>
          </w:p>
        </w:tc>
        <w:tc>
          <w:tcPr>
            <w:tcW w:w="2249" w:type="pct"/>
            <w:noWrap w:val="0"/>
            <w:vAlign w:val="center"/>
          </w:tcPr>
          <w:p>
            <w:pPr>
              <w:snapToGrid w:val="0"/>
              <w:jc w:val="center"/>
              <w:rPr>
                <w:szCs w:val="21"/>
              </w:rPr>
            </w:pPr>
            <w:r>
              <w:rPr>
                <w:szCs w:val="21"/>
              </w:rPr>
              <w:t>检验项目</w:t>
            </w:r>
          </w:p>
        </w:tc>
        <w:tc>
          <w:tcPr>
            <w:tcW w:w="2227" w:type="pct"/>
            <w:noWrap w:val="0"/>
            <w:vAlign w:val="center"/>
          </w:tcPr>
          <w:p>
            <w:pPr>
              <w:snapToGrid w:val="0"/>
              <w:jc w:val="center"/>
              <w:rPr>
                <w:szCs w:val="21"/>
              </w:rPr>
            </w:pPr>
            <w:r>
              <w:rPr>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szCs w:val="21"/>
              </w:rPr>
            </w:pPr>
            <w:r>
              <w:rPr>
                <w:szCs w:val="21"/>
              </w:rPr>
              <w:t>1</w:t>
            </w:r>
          </w:p>
        </w:tc>
        <w:tc>
          <w:tcPr>
            <w:tcW w:w="2249" w:type="pct"/>
            <w:noWrap w:val="0"/>
            <w:vAlign w:val="center"/>
          </w:tcPr>
          <w:p>
            <w:pPr>
              <w:snapToGrid w:val="0"/>
              <w:jc w:val="center"/>
              <w:rPr>
                <w:rFonts w:hint="eastAsia"/>
                <w:szCs w:val="21"/>
              </w:rPr>
            </w:pPr>
            <w:r>
              <w:rPr>
                <w:rFonts w:hint="eastAsia"/>
                <w:szCs w:val="21"/>
              </w:rPr>
              <w:t>外壳冲击</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szCs w:val="21"/>
              </w:rPr>
            </w:pPr>
            <w:r>
              <w:rPr>
                <w:szCs w:val="21"/>
              </w:rPr>
              <w:t>2</w:t>
            </w:r>
          </w:p>
        </w:tc>
        <w:tc>
          <w:tcPr>
            <w:tcW w:w="2249" w:type="pct"/>
            <w:noWrap w:val="0"/>
            <w:vAlign w:val="center"/>
          </w:tcPr>
          <w:p>
            <w:pPr>
              <w:snapToGrid w:val="0"/>
              <w:jc w:val="center"/>
              <w:rPr>
                <w:szCs w:val="21"/>
              </w:rPr>
            </w:pPr>
            <w:r>
              <w:rPr>
                <w:rFonts w:hint="eastAsia"/>
                <w:szCs w:val="21"/>
              </w:rPr>
              <w:t>跌落</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szCs w:val="21"/>
              </w:rPr>
            </w:pPr>
            <w:r>
              <w:rPr>
                <w:szCs w:val="21"/>
              </w:rPr>
              <w:t>3</w:t>
            </w:r>
          </w:p>
        </w:tc>
        <w:tc>
          <w:tcPr>
            <w:tcW w:w="2249" w:type="pct"/>
            <w:noWrap w:val="0"/>
            <w:vAlign w:val="center"/>
          </w:tcPr>
          <w:p>
            <w:pPr>
              <w:snapToGrid w:val="0"/>
              <w:jc w:val="center"/>
              <w:rPr>
                <w:szCs w:val="21"/>
              </w:rPr>
            </w:pPr>
            <w:r>
              <w:rPr>
                <w:rFonts w:hint="eastAsia"/>
                <w:szCs w:val="21"/>
              </w:rPr>
              <w:t>工作温度下的泄漏电流</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szCs w:val="21"/>
              </w:rPr>
            </w:pPr>
            <w:r>
              <w:rPr>
                <w:szCs w:val="21"/>
              </w:rPr>
              <w:t>4</w:t>
            </w:r>
          </w:p>
        </w:tc>
        <w:tc>
          <w:tcPr>
            <w:tcW w:w="2249" w:type="pct"/>
            <w:noWrap w:val="0"/>
            <w:vAlign w:val="center"/>
          </w:tcPr>
          <w:p>
            <w:pPr>
              <w:snapToGrid w:val="0"/>
              <w:jc w:val="center"/>
              <w:rPr>
                <w:szCs w:val="21"/>
              </w:rPr>
            </w:pPr>
            <w:r>
              <w:rPr>
                <w:rFonts w:hint="eastAsia"/>
                <w:szCs w:val="21"/>
              </w:rPr>
              <w:t>电气强度</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szCs w:val="21"/>
              </w:rPr>
            </w:pPr>
            <w:r>
              <w:rPr>
                <w:szCs w:val="21"/>
              </w:rPr>
              <w:t>5</w:t>
            </w:r>
          </w:p>
        </w:tc>
        <w:tc>
          <w:tcPr>
            <w:tcW w:w="2249" w:type="pct"/>
            <w:noWrap w:val="0"/>
            <w:vAlign w:val="center"/>
          </w:tcPr>
          <w:p>
            <w:pPr>
              <w:snapToGrid w:val="0"/>
              <w:jc w:val="center"/>
              <w:rPr>
                <w:szCs w:val="21"/>
              </w:rPr>
            </w:pPr>
            <w:r>
              <w:rPr>
                <w:rFonts w:hint="eastAsia"/>
                <w:szCs w:val="21"/>
              </w:rPr>
              <w:t>防触电保护</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szCs w:val="21"/>
              </w:rPr>
            </w:pPr>
            <w:r>
              <w:rPr>
                <w:szCs w:val="21"/>
              </w:rPr>
              <w:t>6</w:t>
            </w:r>
          </w:p>
        </w:tc>
        <w:tc>
          <w:tcPr>
            <w:tcW w:w="2249" w:type="pct"/>
            <w:noWrap w:val="0"/>
            <w:vAlign w:val="center"/>
          </w:tcPr>
          <w:p>
            <w:pPr>
              <w:snapToGrid w:val="0"/>
              <w:jc w:val="center"/>
              <w:rPr>
                <w:szCs w:val="21"/>
              </w:rPr>
            </w:pPr>
            <w:r>
              <w:rPr>
                <w:rFonts w:hint="eastAsia"/>
                <w:szCs w:val="21"/>
              </w:rPr>
              <w:t>非正常工作</w:t>
            </w:r>
          </w:p>
          <w:p>
            <w:pPr>
              <w:snapToGrid w:val="0"/>
              <w:jc w:val="center"/>
              <w:rPr>
                <w:szCs w:val="21"/>
              </w:rPr>
            </w:pPr>
            <w:r>
              <w:rPr>
                <w:rFonts w:hint="eastAsia"/>
                <w:szCs w:val="21"/>
              </w:rPr>
              <w:t>（仅测5</w:t>
            </w:r>
            <w:r>
              <w:rPr>
                <w:szCs w:val="21"/>
              </w:rPr>
              <w:t>.2.5.1</w:t>
            </w:r>
            <w:r>
              <w:rPr>
                <w:rFonts w:hint="eastAsia"/>
                <w:szCs w:val="21"/>
              </w:rPr>
              <w:t>、5</w:t>
            </w:r>
            <w:r>
              <w:rPr>
                <w:szCs w:val="21"/>
              </w:rPr>
              <w:t>.2.5.2</w:t>
            </w:r>
            <w:r>
              <w:rPr>
                <w:rFonts w:hint="eastAsia"/>
                <w:szCs w:val="21"/>
              </w:rPr>
              <w:t>）</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szCs w:val="21"/>
              </w:rPr>
            </w:pPr>
            <w:r>
              <w:rPr>
                <w:szCs w:val="21"/>
              </w:rPr>
              <w:t>7</w:t>
            </w:r>
          </w:p>
        </w:tc>
        <w:tc>
          <w:tcPr>
            <w:tcW w:w="2249" w:type="pct"/>
            <w:noWrap w:val="0"/>
            <w:vAlign w:val="center"/>
          </w:tcPr>
          <w:p>
            <w:pPr>
              <w:snapToGrid w:val="0"/>
              <w:jc w:val="center"/>
              <w:rPr>
                <w:rFonts w:hint="eastAsia"/>
                <w:szCs w:val="21"/>
              </w:rPr>
            </w:pPr>
            <w:r>
              <w:rPr>
                <w:rFonts w:hint="eastAsia"/>
                <w:szCs w:val="21"/>
              </w:rPr>
              <w:t>超温保护</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szCs w:val="21"/>
              </w:rPr>
            </w:pPr>
            <w:r>
              <w:rPr>
                <w:rFonts w:hint="eastAsia"/>
                <w:szCs w:val="21"/>
              </w:rPr>
              <w:t>8</w:t>
            </w:r>
          </w:p>
        </w:tc>
        <w:tc>
          <w:tcPr>
            <w:tcW w:w="2249" w:type="pct"/>
            <w:noWrap w:val="0"/>
            <w:vAlign w:val="center"/>
          </w:tcPr>
          <w:p>
            <w:pPr>
              <w:snapToGrid w:val="0"/>
              <w:jc w:val="center"/>
              <w:rPr>
                <w:rFonts w:hint="eastAsia"/>
                <w:szCs w:val="21"/>
              </w:rPr>
            </w:pPr>
            <w:r>
              <w:rPr>
                <w:rFonts w:hint="eastAsia"/>
                <w:szCs w:val="21"/>
              </w:rPr>
              <w:t>过充切断</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rFonts w:hint="eastAsia"/>
                <w:szCs w:val="21"/>
              </w:rPr>
            </w:pPr>
            <w:r>
              <w:rPr>
                <w:rFonts w:hint="eastAsia"/>
                <w:szCs w:val="21"/>
              </w:rPr>
              <w:t>9</w:t>
            </w:r>
          </w:p>
        </w:tc>
        <w:tc>
          <w:tcPr>
            <w:tcW w:w="2249" w:type="pct"/>
            <w:noWrap w:val="0"/>
            <w:vAlign w:val="center"/>
          </w:tcPr>
          <w:p>
            <w:pPr>
              <w:snapToGrid w:val="0"/>
              <w:jc w:val="center"/>
              <w:rPr>
                <w:rFonts w:hint="eastAsia"/>
                <w:szCs w:val="21"/>
              </w:rPr>
            </w:pPr>
            <w:r>
              <w:rPr>
                <w:rFonts w:hint="eastAsia"/>
                <w:szCs w:val="21"/>
              </w:rPr>
              <w:t>延时切断</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szCs w:val="21"/>
              </w:rPr>
            </w:pPr>
            <w:r>
              <w:rPr>
                <w:rFonts w:hint="eastAsia"/>
                <w:szCs w:val="21"/>
              </w:rPr>
              <w:t>1</w:t>
            </w:r>
            <w:r>
              <w:rPr>
                <w:szCs w:val="21"/>
              </w:rPr>
              <w:t>0</w:t>
            </w:r>
          </w:p>
        </w:tc>
        <w:tc>
          <w:tcPr>
            <w:tcW w:w="2249" w:type="pct"/>
            <w:noWrap w:val="0"/>
            <w:vAlign w:val="center"/>
          </w:tcPr>
          <w:p>
            <w:pPr>
              <w:snapToGrid w:val="0"/>
              <w:jc w:val="center"/>
              <w:rPr>
                <w:szCs w:val="21"/>
              </w:rPr>
            </w:pPr>
            <w:r>
              <w:rPr>
                <w:rFonts w:hint="eastAsia"/>
                <w:szCs w:val="21"/>
              </w:rPr>
              <w:t>耐热</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24" w:type="pct"/>
            <w:noWrap w:val="0"/>
            <w:vAlign w:val="center"/>
          </w:tcPr>
          <w:p>
            <w:pPr>
              <w:snapToGrid w:val="0"/>
              <w:jc w:val="center"/>
              <w:rPr>
                <w:rFonts w:hint="eastAsia"/>
                <w:szCs w:val="21"/>
              </w:rPr>
            </w:pPr>
            <w:r>
              <w:rPr>
                <w:rFonts w:hint="eastAsia"/>
                <w:szCs w:val="21"/>
              </w:rPr>
              <w:t>1</w:t>
            </w:r>
            <w:r>
              <w:rPr>
                <w:szCs w:val="21"/>
              </w:rPr>
              <w:t>1</w:t>
            </w:r>
          </w:p>
        </w:tc>
        <w:tc>
          <w:tcPr>
            <w:tcW w:w="2249" w:type="pct"/>
            <w:noWrap w:val="0"/>
            <w:vAlign w:val="center"/>
          </w:tcPr>
          <w:p>
            <w:pPr>
              <w:snapToGrid w:val="0"/>
              <w:jc w:val="center"/>
              <w:rPr>
                <w:rFonts w:hint="eastAsia"/>
                <w:szCs w:val="21"/>
              </w:rPr>
            </w:pPr>
            <w:r>
              <w:rPr>
                <w:rFonts w:hint="eastAsia"/>
                <w:szCs w:val="21"/>
              </w:rPr>
              <w:t>灼热丝</w:t>
            </w:r>
          </w:p>
        </w:tc>
        <w:tc>
          <w:tcPr>
            <w:tcW w:w="2227" w:type="pct"/>
            <w:noWrap w:val="0"/>
            <w:vAlign w:val="center"/>
          </w:tcPr>
          <w:p>
            <w:pPr>
              <w:snapToGrid w:val="0"/>
              <w:jc w:val="center"/>
              <w:rPr>
                <w:szCs w:val="21"/>
              </w:rPr>
            </w:pPr>
            <w:r>
              <w:rPr>
                <w:szCs w:val="21"/>
              </w:rPr>
              <w:t>GB 42296</w:t>
            </w:r>
            <w:r>
              <w:rPr>
                <w:color w:val="000000"/>
                <w:szCs w:val="21"/>
              </w:rPr>
              <w:t>—</w:t>
            </w:r>
            <w:r>
              <w:rPr>
                <w:szCs w:val="21"/>
              </w:rPr>
              <w:t xml:space="preserve">2022 </w:t>
            </w:r>
          </w:p>
        </w:tc>
      </w:tr>
    </w:tbl>
    <w:p>
      <w:pPr>
        <w:snapToGrid w:val="0"/>
        <w:spacing w:line="440" w:lineRule="exact"/>
        <w:jc w:val="left"/>
        <w:rPr>
          <w:szCs w:val="21"/>
        </w:rPr>
      </w:pPr>
    </w:p>
    <w:p>
      <w:pPr>
        <w:snapToGrid w:val="0"/>
        <w:spacing w:line="440" w:lineRule="exact"/>
        <w:ind w:firstLine="420" w:firstLineChars="200"/>
        <w:rPr>
          <w:szCs w:val="21"/>
        </w:rPr>
      </w:pPr>
      <w:r>
        <w:rPr>
          <w:szCs w:val="21"/>
        </w:rPr>
        <w:t>执行企业标准、团体标准、地方标准的产品，检验项目参照上述内容执行。</w:t>
      </w:r>
    </w:p>
    <w:p>
      <w:pPr>
        <w:snapToGrid w:val="0"/>
        <w:spacing w:line="440" w:lineRule="exact"/>
        <w:ind w:firstLine="420" w:firstLineChars="200"/>
        <w:rPr>
          <w:szCs w:val="21"/>
        </w:rPr>
      </w:pPr>
      <w:r>
        <w:rPr>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szCs w:val="21"/>
        </w:rPr>
      </w:pPr>
      <w:r>
        <w:rPr>
          <w:rFonts w:hint="eastAsia"/>
          <w:szCs w:val="21"/>
        </w:rPr>
        <w:t>2023年7月1日</w:t>
      </w:r>
      <w:r>
        <w:rPr>
          <w:szCs w:val="21"/>
        </w:rPr>
        <w:t>以后生</w:t>
      </w:r>
      <w:r>
        <w:rPr>
          <w:rFonts w:hint="eastAsia"/>
          <w:szCs w:val="21"/>
        </w:rPr>
        <w:t>产</w:t>
      </w:r>
      <w:r>
        <w:rPr>
          <w:szCs w:val="21"/>
        </w:rPr>
        <w:t>的</w:t>
      </w:r>
      <w:r>
        <w:rPr>
          <w:rFonts w:hint="eastAsia"/>
          <w:szCs w:val="21"/>
        </w:rPr>
        <w:t>产品及2</w:t>
      </w:r>
      <w:r>
        <w:rPr>
          <w:szCs w:val="21"/>
        </w:rPr>
        <w:t>024</w:t>
      </w:r>
      <w:r>
        <w:rPr>
          <w:rFonts w:hint="eastAsia"/>
          <w:szCs w:val="21"/>
        </w:rPr>
        <w:t>年7月1日以后销售的</w:t>
      </w:r>
      <w:r>
        <w:rPr>
          <w:szCs w:val="21"/>
        </w:rPr>
        <w:t>产品，</w:t>
      </w:r>
      <w:r>
        <w:rPr>
          <w:rFonts w:hint="eastAsia"/>
          <w:szCs w:val="21"/>
        </w:rPr>
        <w:t>均执行</w:t>
      </w:r>
      <w:r>
        <w:rPr>
          <w:szCs w:val="21"/>
        </w:rPr>
        <w:t>GB 42296</w:t>
      </w:r>
      <w:r>
        <w:rPr>
          <w:color w:val="000000"/>
          <w:szCs w:val="21"/>
        </w:rPr>
        <w:t>—</w:t>
      </w:r>
      <w:r>
        <w:rPr>
          <w:szCs w:val="21"/>
        </w:rPr>
        <w:t>2022</w:t>
      </w:r>
      <w:r>
        <w:rPr>
          <w:rFonts w:hint="eastAsia"/>
          <w:szCs w:val="21"/>
        </w:rPr>
        <w:t>标准。</w:t>
      </w:r>
    </w:p>
    <w:p>
      <w:pPr>
        <w:snapToGrid w:val="0"/>
        <w:spacing w:line="440" w:lineRule="exact"/>
        <w:ind w:firstLine="420" w:firstLineChars="200"/>
        <w:rPr>
          <w:rFonts w:hint="eastAsia"/>
          <w:szCs w:val="21"/>
          <w:highlight w:val="yellow"/>
        </w:rPr>
      </w:pPr>
    </w:p>
    <w:p>
      <w:pPr>
        <w:spacing w:line="360" w:lineRule="auto"/>
        <w:rPr>
          <w:rFonts w:eastAsia="黑体"/>
          <w:szCs w:val="21"/>
        </w:rPr>
      </w:pPr>
      <w:r>
        <w:rPr>
          <w:rFonts w:eastAsia="黑体"/>
          <w:szCs w:val="21"/>
        </w:rPr>
        <w:t>3 判定规则</w:t>
      </w:r>
    </w:p>
    <w:p>
      <w:pPr>
        <w:snapToGrid w:val="0"/>
        <w:spacing w:line="440" w:lineRule="exact"/>
        <w:rPr>
          <w:szCs w:val="21"/>
        </w:rPr>
      </w:pPr>
      <w:r>
        <w:rPr>
          <w:szCs w:val="21"/>
        </w:rPr>
        <w:t>3.1依据标准</w:t>
      </w:r>
    </w:p>
    <w:p>
      <w:pPr>
        <w:snapToGrid w:val="0"/>
        <w:spacing w:line="440" w:lineRule="exact"/>
        <w:ind w:firstLine="420" w:firstLineChars="200"/>
        <w:rPr>
          <w:szCs w:val="21"/>
        </w:rPr>
      </w:pPr>
      <w:r>
        <w:rPr>
          <w:szCs w:val="21"/>
        </w:rPr>
        <w:t>GB 42296</w:t>
      </w:r>
      <w:r>
        <w:rPr>
          <w:color w:val="000000"/>
          <w:szCs w:val="21"/>
        </w:rPr>
        <w:t>—</w:t>
      </w:r>
      <w:r>
        <w:rPr>
          <w:szCs w:val="21"/>
        </w:rPr>
        <w:t xml:space="preserve">2022 </w:t>
      </w:r>
      <w:r>
        <w:rPr>
          <w:rFonts w:hint="eastAsia"/>
          <w:szCs w:val="21"/>
        </w:rPr>
        <w:t>电动自行车用充电器安全技术要求</w:t>
      </w:r>
    </w:p>
    <w:p>
      <w:pPr>
        <w:snapToGrid w:val="0"/>
        <w:spacing w:line="440" w:lineRule="exact"/>
        <w:ind w:firstLine="420" w:firstLineChars="200"/>
        <w:rPr>
          <w:szCs w:val="21"/>
        </w:rPr>
      </w:pPr>
      <w:r>
        <w:rPr>
          <w:szCs w:val="21"/>
        </w:rPr>
        <w:t>现行有效的企业标准、团体标准、地方标准及产品明示质量要求</w:t>
      </w:r>
    </w:p>
    <w:p>
      <w:pPr>
        <w:snapToGrid w:val="0"/>
        <w:spacing w:line="440" w:lineRule="exact"/>
        <w:rPr>
          <w:szCs w:val="21"/>
        </w:rPr>
      </w:pPr>
      <w:r>
        <w:rPr>
          <w:szCs w:val="21"/>
        </w:rPr>
        <w:t>3.2判定原则</w:t>
      </w:r>
    </w:p>
    <w:p>
      <w:pPr>
        <w:snapToGrid w:val="0"/>
        <w:spacing w:line="440" w:lineRule="exact"/>
        <w:ind w:firstLine="420" w:firstLineChars="200"/>
        <w:rPr>
          <w:szCs w:val="21"/>
        </w:rPr>
      </w:pPr>
      <w:r>
        <w:rPr>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szCs w:val="21"/>
        </w:rPr>
      </w:pPr>
      <w:r>
        <w:rPr>
          <w:szCs w:val="21"/>
        </w:rPr>
        <w:t>若被检产品明示的质量要求高于本细则中检验项目依据的标准要求时，应按被检产品明示的质量要求判定。</w:t>
      </w:r>
    </w:p>
    <w:p>
      <w:pPr>
        <w:snapToGrid w:val="0"/>
        <w:spacing w:line="440" w:lineRule="exact"/>
        <w:ind w:firstLine="420" w:firstLineChars="200"/>
        <w:rPr>
          <w:szCs w:val="21"/>
        </w:rPr>
      </w:pPr>
      <w:r>
        <w:rPr>
          <w:szCs w:val="21"/>
        </w:rPr>
        <w:t>若被检产品明示的质量要求低于本细则中检验项目依据的强制性标准要求时，应按照强制性标准要求判定。</w:t>
      </w:r>
    </w:p>
    <w:p>
      <w:pPr>
        <w:snapToGrid w:val="0"/>
        <w:spacing w:line="440" w:lineRule="exact"/>
        <w:ind w:firstLine="420" w:firstLineChars="200"/>
        <w:rPr>
          <w:szCs w:val="21"/>
        </w:rPr>
      </w:pPr>
      <w:r>
        <w:rPr>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szCs w:val="21"/>
        </w:rPr>
      </w:pPr>
      <w:r>
        <w:rPr>
          <w:szCs w:val="21"/>
        </w:rPr>
        <w:t>若被检产品明示的质量要求缺少本细则中检验项目依据的强制性标准要求时，应按照强制性标准要求判定。</w:t>
      </w:r>
    </w:p>
    <w:p>
      <w:pPr>
        <w:snapToGrid w:val="0"/>
        <w:spacing w:line="440" w:lineRule="exact"/>
        <w:ind w:firstLine="420" w:firstLineChars="200"/>
        <w:rPr>
          <w:szCs w:val="21"/>
        </w:rPr>
      </w:pPr>
      <w:r>
        <w:rPr>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方正仿宋简体">
    <w:altName w:val="微软雅黑"/>
    <w:panose1 w:val="02000000000000000000"/>
    <w:charset w:val="00"/>
    <w:family w:val="script"/>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5OGVkMjRiNDIwOTk5MjI1ZTc5MTI4MjI5NTdhMzEifQ=="/>
  </w:docVars>
  <w:rsids>
    <w:rsidRoot w:val="00172A27"/>
    <w:rsid w:val="00014078"/>
    <w:rsid w:val="00040A09"/>
    <w:rsid w:val="000448E9"/>
    <w:rsid w:val="00051A44"/>
    <w:rsid w:val="00081CBD"/>
    <w:rsid w:val="000976DE"/>
    <w:rsid w:val="000A48CE"/>
    <w:rsid w:val="000B097E"/>
    <w:rsid w:val="000B1B47"/>
    <w:rsid w:val="000B4102"/>
    <w:rsid w:val="000C31EC"/>
    <w:rsid w:val="000E3F14"/>
    <w:rsid w:val="00121A0F"/>
    <w:rsid w:val="00123D1C"/>
    <w:rsid w:val="00145616"/>
    <w:rsid w:val="0016390F"/>
    <w:rsid w:val="00163C9D"/>
    <w:rsid w:val="001739F3"/>
    <w:rsid w:val="001768D2"/>
    <w:rsid w:val="001809DD"/>
    <w:rsid w:val="001848A1"/>
    <w:rsid w:val="001922DE"/>
    <w:rsid w:val="001A71A6"/>
    <w:rsid w:val="001B443D"/>
    <w:rsid w:val="001D4C99"/>
    <w:rsid w:val="001E121B"/>
    <w:rsid w:val="001E3E90"/>
    <w:rsid w:val="00201B80"/>
    <w:rsid w:val="00203101"/>
    <w:rsid w:val="00206DA2"/>
    <w:rsid w:val="002231B3"/>
    <w:rsid w:val="00223A1E"/>
    <w:rsid w:val="00232530"/>
    <w:rsid w:val="0024015B"/>
    <w:rsid w:val="00246246"/>
    <w:rsid w:val="00253624"/>
    <w:rsid w:val="0025593D"/>
    <w:rsid w:val="0026760A"/>
    <w:rsid w:val="00294EE0"/>
    <w:rsid w:val="002A667D"/>
    <w:rsid w:val="002B06BB"/>
    <w:rsid w:val="002C0100"/>
    <w:rsid w:val="002C12BE"/>
    <w:rsid w:val="002C5A8A"/>
    <w:rsid w:val="002D7F8A"/>
    <w:rsid w:val="002E0D14"/>
    <w:rsid w:val="002E0D1D"/>
    <w:rsid w:val="002E462D"/>
    <w:rsid w:val="00305425"/>
    <w:rsid w:val="00317FAB"/>
    <w:rsid w:val="003203A3"/>
    <w:rsid w:val="003470E8"/>
    <w:rsid w:val="003532AB"/>
    <w:rsid w:val="00355619"/>
    <w:rsid w:val="00365CBE"/>
    <w:rsid w:val="00371F99"/>
    <w:rsid w:val="0037560D"/>
    <w:rsid w:val="00380FED"/>
    <w:rsid w:val="003A0360"/>
    <w:rsid w:val="003A22F4"/>
    <w:rsid w:val="003A7D30"/>
    <w:rsid w:val="003B70EB"/>
    <w:rsid w:val="003B78B3"/>
    <w:rsid w:val="003C388C"/>
    <w:rsid w:val="003D05B2"/>
    <w:rsid w:val="003D09A1"/>
    <w:rsid w:val="003D2F78"/>
    <w:rsid w:val="003D3B2F"/>
    <w:rsid w:val="003E10E5"/>
    <w:rsid w:val="003E5CA9"/>
    <w:rsid w:val="003E61BF"/>
    <w:rsid w:val="003F4E65"/>
    <w:rsid w:val="003F6627"/>
    <w:rsid w:val="004077D9"/>
    <w:rsid w:val="004104AC"/>
    <w:rsid w:val="00410EA5"/>
    <w:rsid w:val="004334E7"/>
    <w:rsid w:val="00445E86"/>
    <w:rsid w:val="00447067"/>
    <w:rsid w:val="00447AD2"/>
    <w:rsid w:val="0045227F"/>
    <w:rsid w:val="0045434D"/>
    <w:rsid w:val="004720EB"/>
    <w:rsid w:val="00474E04"/>
    <w:rsid w:val="004809FB"/>
    <w:rsid w:val="004922BE"/>
    <w:rsid w:val="00494075"/>
    <w:rsid w:val="004A6F10"/>
    <w:rsid w:val="004A7A7C"/>
    <w:rsid w:val="004D0C5A"/>
    <w:rsid w:val="004D1011"/>
    <w:rsid w:val="004D184C"/>
    <w:rsid w:val="004E1396"/>
    <w:rsid w:val="004E3B6E"/>
    <w:rsid w:val="004E6C21"/>
    <w:rsid w:val="004E7045"/>
    <w:rsid w:val="004F1BAA"/>
    <w:rsid w:val="005112ED"/>
    <w:rsid w:val="00512EAD"/>
    <w:rsid w:val="00516D6F"/>
    <w:rsid w:val="0052325F"/>
    <w:rsid w:val="005247AE"/>
    <w:rsid w:val="005619E9"/>
    <w:rsid w:val="00563EBC"/>
    <w:rsid w:val="005A3EBB"/>
    <w:rsid w:val="005D5B69"/>
    <w:rsid w:val="005E6497"/>
    <w:rsid w:val="005F0AC3"/>
    <w:rsid w:val="005F3444"/>
    <w:rsid w:val="00652E2A"/>
    <w:rsid w:val="006539BE"/>
    <w:rsid w:val="006916FE"/>
    <w:rsid w:val="006C2183"/>
    <w:rsid w:val="006D280B"/>
    <w:rsid w:val="006D2E07"/>
    <w:rsid w:val="006E1171"/>
    <w:rsid w:val="006F0971"/>
    <w:rsid w:val="006F49BB"/>
    <w:rsid w:val="00711731"/>
    <w:rsid w:val="00715984"/>
    <w:rsid w:val="0072334C"/>
    <w:rsid w:val="00734DE7"/>
    <w:rsid w:val="00740F92"/>
    <w:rsid w:val="0074702A"/>
    <w:rsid w:val="007542A1"/>
    <w:rsid w:val="0077210B"/>
    <w:rsid w:val="00774650"/>
    <w:rsid w:val="007746F1"/>
    <w:rsid w:val="007760DB"/>
    <w:rsid w:val="00784F36"/>
    <w:rsid w:val="007938E6"/>
    <w:rsid w:val="007A6CF4"/>
    <w:rsid w:val="007C7EE1"/>
    <w:rsid w:val="007D03DB"/>
    <w:rsid w:val="007D2506"/>
    <w:rsid w:val="007F029A"/>
    <w:rsid w:val="008043EB"/>
    <w:rsid w:val="0080525A"/>
    <w:rsid w:val="0083029F"/>
    <w:rsid w:val="00830366"/>
    <w:rsid w:val="00840025"/>
    <w:rsid w:val="00853303"/>
    <w:rsid w:val="008817D4"/>
    <w:rsid w:val="0089254E"/>
    <w:rsid w:val="00895BEA"/>
    <w:rsid w:val="008A3497"/>
    <w:rsid w:val="008A3568"/>
    <w:rsid w:val="008A59D8"/>
    <w:rsid w:val="008D2FEA"/>
    <w:rsid w:val="008E1B2A"/>
    <w:rsid w:val="0090188E"/>
    <w:rsid w:val="00905509"/>
    <w:rsid w:val="009150A3"/>
    <w:rsid w:val="00917A54"/>
    <w:rsid w:val="00922153"/>
    <w:rsid w:val="00924327"/>
    <w:rsid w:val="0092635A"/>
    <w:rsid w:val="00932E92"/>
    <w:rsid w:val="0093576C"/>
    <w:rsid w:val="00944E3B"/>
    <w:rsid w:val="009519DE"/>
    <w:rsid w:val="00953926"/>
    <w:rsid w:val="00967B35"/>
    <w:rsid w:val="00976B14"/>
    <w:rsid w:val="009A5D22"/>
    <w:rsid w:val="009A72CB"/>
    <w:rsid w:val="009B6BC1"/>
    <w:rsid w:val="009C14C4"/>
    <w:rsid w:val="00A16D3E"/>
    <w:rsid w:val="00A203B8"/>
    <w:rsid w:val="00A23D98"/>
    <w:rsid w:val="00A25704"/>
    <w:rsid w:val="00A43553"/>
    <w:rsid w:val="00A439D5"/>
    <w:rsid w:val="00A44364"/>
    <w:rsid w:val="00A4625E"/>
    <w:rsid w:val="00A544D4"/>
    <w:rsid w:val="00A62343"/>
    <w:rsid w:val="00A66E94"/>
    <w:rsid w:val="00A67998"/>
    <w:rsid w:val="00AA104E"/>
    <w:rsid w:val="00AA4C3B"/>
    <w:rsid w:val="00AB56AC"/>
    <w:rsid w:val="00AC5391"/>
    <w:rsid w:val="00AD0A7A"/>
    <w:rsid w:val="00AE1311"/>
    <w:rsid w:val="00AF5BA1"/>
    <w:rsid w:val="00B0598E"/>
    <w:rsid w:val="00B22B19"/>
    <w:rsid w:val="00B31BDA"/>
    <w:rsid w:val="00B426C0"/>
    <w:rsid w:val="00B43C5D"/>
    <w:rsid w:val="00B53F4C"/>
    <w:rsid w:val="00B54C87"/>
    <w:rsid w:val="00B56885"/>
    <w:rsid w:val="00B6004F"/>
    <w:rsid w:val="00B65F23"/>
    <w:rsid w:val="00B776C1"/>
    <w:rsid w:val="00B82100"/>
    <w:rsid w:val="00BA6EC0"/>
    <w:rsid w:val="00BB0569"/>
    <w:rsid w:val="00BB2BEE"/>
    <w:rsid w:val="00BB2FB0"/>
    <w:rsid w:val="00BB6D90"/>
    <w:rsid w:val="00BC335B"/>
    <w:rsid w:val="00BD3935"/>
    <w:rsid w:val="00BD4922"/>
    <w:rsid w:val="00BD72E0"/>
    <w:rsid w:val="00BE00A7"/>
    <w:rsid w:val="00BE3707"/>
    <w:rsid w:val="00BF2B8C"/>
    <w:rsid w:val="00C00CFB"/>
    <w:rsid w:val="00C056C8"/>
    <w:rsid w:val="00C26074"/>
    <w:rsid w:val="00C55371"/>
    <w:rsid w:val="00C83B0A"/>
    <w:rsid w:val="00C96A69"/>
    <w:rsid w:val="00CA0D55"/>
    <w:rsid w:val="00CA53BF"/>
    <w:rsid w:val="00CA57E5"/>
    <w:rsid w:val="00CB1536"/>
    <w:rsid w:val="00CC1473"/>
    <w:rsid w:val="00CC30D7"/>
    <w:rsid w:val="00CC5036"/>
    <w:rsid w:val="00CD3399"/>
    <w:rsid w:val="00CE1E0C"/>
    <w:rsid w:val="00CE277E"/>
    <w:rsid w:val="00CF6C5C"/>
    <w:rsid w:val="00D45DEC"/>
    <w:rsid w:val="00D56867"/>
    <w:rsid w:val="00D72BF4"/>
    <w:rsid w:val="00DA034F"/>
    <w:rsid w:val="00DC5A49"/>
    <w:rsid w:val="00DE4645"/>
    <w:rsid w:val="00DF1B8B"/>
    <w:rsid w:val="00DF6E11"/>
    <w:rsid w:val="00E01D2C"/>
    <w:rsid w:val="00E02A7F"/>
    <w:rsid w:val="00E06008"/>
    <w:rsid w:val="00E07880"/>
    <w:rsid w:val="00E7658B"/>
    <w:rsid w:val="00E76896"/>
    <w:rsid w:val="00E82621"/>
    <w:rsid w:val="00E86B2F"/>
    <w:rsid w:val="00E875AA"/>
    <w:rsid w:val="00EB3A6F"/>
    <w:rsid w:val="00EB6FD6"/>
    <w:rsid w:val="00EC3879"/>
    <w:rsid w:val="00EF558C"/>
    <w:rsid w:val="00F05EB1"/>
    <w:rsid w:val="00F07C08"/>
    <w:rsid w:val="00F1485E"/>
    <w:rsid w:val="00F16259"/>
    <w:rsid w:val="00F24E4D"/>
    <w:rsid w:val="00F350C2"/>
    <w:rsid w:val="00F4002B"/>
    <w:rsid w:val="00F44BB6"/>
    <w:rsid w:val="00F56820"/>
    <w:rsid w:val="00F77C9A"/>
    <w:rsid w:val="00F9037D"/>
    <w:rsid w:val="00F91594"/>
    <w:rsid w:val="00F91CD8"/>
    <w:rsid w:val="00FA41D1"/>
    <w:rsid w:val="00FB576C"/>
    <w:rsid w:val="00FC2C3A"/>
    <w:rsid w:val="00FC5FAC"/>
    <w:rsid w:val="00FD157B"/>
    <w:rsid w:val="00FD2AA6"/>
    <w:rsid w:val="00FD3FC8"/>
    <w:rsid w:val="00FE7E8A"/>
    <w:rsid w:val="00FF3E50"/>
    <w:rsid w:val="032F5E08"/>
    <w:rsid w:val="0EFC1A56"/>
    <w:rsid w:val="1C1332A0"/>
    <w:rsid w:val="1E7220A8"/>
    <w:rsid w:val="3902497B"/>
    <w:rsid w:val="39254F9B"/>
    <w:rsid w:val="41FD50EC"/>
    <w:rsid w:val="498B310E"/>
    <w:rsid w:val="4FC76963"/>
    <w:rsid w:val="55F41CC3"/>
    <w:rsid w:val="5EA4168E"/>
    <w:rsid w:val="5F3E7C2F"/>
    <w:rsid w:val="671223EE"/>
    <w:rsid w:val="6CC9208A"/>
    <w:rsid w:val="76D80058"/>
    <w:rsid w:val="7DBD127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unhideWhenUsed/>
    <w:uiPriority w:val="99"/>
    <w:tblPr>
      <w:tblCellMar>
        <w:top w:w="0" w:type="dxa"/>
        <w:left w:w="108" w:type="dxa"/>
        <w:bottom w:w="0" w:type="dxa"/>
        <w:right w:w="108" w:type="dxa"/>
      </w:tblCellMar>
    </w:tblPr>
  </w:style>
  <w:style w:type="paragraph" w:styleId="2">
    <w:name w:val="annotation text"/>
    <w:basedOn w:val="1"/>
    <w:link w:val="11"/>
    <w:unhideWhenUsed/>
    <w:uiPriority w:val="99"/>
    <w:pPr>
      <w:jc w:val="left"/>
    </w:pPr>
  </w:style>
  <w:style w:type="paragraph" w:styleId="3">
    <w:name w:val="Balloon Text"/>
    <w:basedOn w:val="1"/>
    <w:link w:val="12"/>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uiPriority w:val="99"/>
    <w:rPr>
      <w:b/>
      <w:bCs/>
    </w:rPr>
  </w:style>
  <w:style w:type="character" w:styleId="9">
    <w:name w:val="page number"/>
    <w:uiPriority w:val="0"/>
  </w:style>
  <w:style w:type="character" w:styleId="10">
    <w:name w:val="annotation reference"/>
    <w:unhideWhenUsed/>
    <w:uiPriority w:val="99"/>
    <w:rPr>
      <w:sz w:val="21"/>
      <w:szCs w:val="21"/>
    </w:rPr>
  </w:style>
  <w:style w:type="character" w:customStyle="1" w:styleId="11">
    <w:name w:val="批注文字 字符"/>
    <w:link w:val="2"/>
    <w:uiPriority w:val="99"/>
    <w:rPr>
      <w:kern w:val="2"/>
      <w:sz w:val="21"/>
      <w:szCs w:val="24"/>
    </w:rPr>
  </w:style>
  <w:style w:type="character" w:customStyle="1" w:styleId="12">
    <w:name w:val="批注框文本 字符"/>
    <w:link w:val="3"/>
    <w:semiHidden/>
    <w:uiPriority w:val="99"/>
    <w:rPr>
      <w:kern w:val="2"/>
      <w:sz w:val="18"/>
      <w:szCs w:val="18"/>
    </w:rPr>
  </w:style>
  <w:style w:type="character" w:customStyle="1" w:styleId="13">
    <w:name w:val="页脚 字符"/>
    <w:link w:val="4"/>
    <w:uiPriority w:val="99"/>
    <w:rPr>
      <w:kern w:val="2"/>
      <w:sz w:val="18"/>
      <w:szCs w:val="18"/>
    </w:rPr>
  </w:style>
  <w:style w:type="character" w:customStyle="1" w:styleId="14">
    <w:name w:val="页眉 字符"/>
    <w:link w:val="5"/>
    <w:semiHidden/>
    <w:uiPriority w:val="99"/>
    <w:rPr>
      <w:kern w:val="2"/>
      <w:sz w:val="18"/>
      <w:szCs w:val="18"/>
    </w:rPr>
  </w:style>
  <w:style w:type="character" w:customStyle="1" w:styleId="15">
    <w:name w:val="批注主题 字符"/>
    <w:link w:val="6"/>
    <w:semiHidden/>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_Style 16"/>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3</Pages>
  <Words>307</Words>
  <Characters>1756</Characters>
  <Lines>14</Lines>
  <Paragraphs>4</Paragraphs>
  <TotalTime>16</TotalTime>
  <ScaleCrop>false</ScaleCrop>
  <LinksUpToDate>false</LinksUpToDate>
  <CharactersWithSpaces>2059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2024-03-19T01:21:00Z</dcterms:created>
  <dc:creator>Legend User</dc:creator>
  <cp:lastModifiedBy>Administrator</cp:lastModifiedBy>
  <cp:lastPrinted>2024-03-06T05:50:00Z</cp:lastPrinted>
  <dcterms:modified xsi:type="dcterms:W3CDTF">2024-04-12T01:26:17Z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483CFBBD5C774253A843CFDC092410C3_13</vt:lpwstr>
  </property>
</Properties>
</file>