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4" w:lineRule="exact"/>
        <w:jc w:val="center"/>
        <w:rPr>
          <w:rFonts w:hint="eastAsia" w:eastAsia="方正小标宋简体" w:cs="方正仿宋简体"/>
          <w:color w:val="000000"/>
          <w:sz w:val="32"/>
          <w:szCs w:val="32"/>
        </w:rPr>
      </w:pPr>
      <w:r>
        <w:rPr>
          <w:rFonts w:hint="eastAsia" w:eastAsia="方正小标宋简体" w:cs="方正仿宋简体"/>
          <w:color w:val="000000"/>
          <w:sz w:val="32"/>
          <w:szCs w:val="32"/>
        </w:rPr>
        <w:t>2024年宁波市</w:t>
      </w:r>
      <w:r>
        <w:rPr>
          <w:rFonts w:hint="eastAsia" w:eastAsia="方正小标宋简体"/>
          <w:color w:val="000000"/>
          <w:sz w:val="32"/>
          <w:szCs w:val="32"/>
        </w:rPr>
        <w:t>不锈钢（板）带</w:t>
      </w:r>
      <w:r>
        <w:rPr>
          <w:rFonts w:hint="eastAsia" w:eastAsia="方正小标宋简体" w:cs="方正仿宋简体"/>
          <w:color w:val="000000"/>
          <w:sz w:val="32"/>
          <w:szCs w:val="32"/>
        </w:rPr>
        <w:t>产品质量监督抽查</w:t>
      </w:r>
    </w:p>
    <w:p>
      <w:pPr>
        <w:snapToGrid w:val="0"/>
        <w:spacing w:line="440" w:lineRule="exact"/>
        <w:jc w:val="center"/>
        <w:rPr>
          <w:rFonts w:eastAsia="方正小标宋简体"/>
          <w:color w:val="000000"/>
          <w:sz w:val="32"/>
          <w:szCs w:val="32"/>
        </w:rPr>
      </w:pPr>
      <w:r>
        <w:rPr>
          <w:rFonts w:hint="eastAsia" w:eastAsia="方正小标宋简体" w:cs="方正仿宋简体"/>
          <w:color w:val="000000"/>
          <w:sz w:val="32"/>
          <w:szCs w:val="32"/>
        </w:rPr>
        <w:t>实施细则</w:t>
      </w:r>
    </w:p>
    <w:p>
      <w:pPr>
        <w:adjustRightInd w:val="0"/>
        <w:snapToGrid w:val="0"/>
        <w:spacing w:line="440" w:lineRule="exact"/>
        <w:jc w:val="center"/>
        <w:rPr>
          <w:rFonts w:eastAsia="方正小标宋简体"/>
          <w:color w:val="000000"/>
          <w:sz w:val="32"/>
          <w:szCs w:val="32"/>
        </w:rPr>
      </w:pPr>
    </w:p>
    <w:p>
      <w:pPr>
        <w:snapToGrid w:val="0"/>
        <w:spacing w:line="440" w:lineRule="exact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1 抽样方法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（一）抽样方法</w:t>
      </w:r>
    </w:p>
    <w:p>
      <w:pPr>
        <w:pStyle w:val="14"/>
        <w:shd w:val="clear" w:color="auto" w:fill="FFFFFF"/>
        <w:adjustRightInd w:val="0"/>
        <w:snapToGrid w:val="0"/>
        <w:spacing w:line="264" w:lineRule="auto"/>
        <w:ind w:firstLine="420"/>
        <w:rPr>
          <w:color w:val="auto"/>
          <w:kern w:val="2"/>
        </w:rPr>
      </w:pPr>
      <w:r>
        <w:rPr>
          <w:color w:val="auto"/>
          <w:kern w:val="2"/>
        </w:rPr>
        <w:t>样品应当由抽样人员在被抽样生产者、销售者的待销产品或者生产线末端经检验合格的产品中随机抽样。抽样基数满足抽样数量即可。</w:t>
      </w:r>
    </w:p>
    <w:p>
      <w:pPr>
        <w:pStyle w:val="14"/>
        <w:shd w:val="clear" w:color="auto" w:fill="FFFFFF"/>
        <w:adjustRightInd w:val="0"/>
        <w:snapToGrid w:val="0"/>
        <w:spacing w:line="264" w:lineRule="auto"/>
        <w:ind w:firstLine="420"/>
        <w:rPr>
          <w:color w:val="auto"/>
          <w:kern w:val="2"/>
        </w:rPr>
      </w:pPr>
      <w:r>
        <w:rPr>
          <w:color w:val="auto"/>
          <w:kern w:val="2"/>
        </w:rPr>
        <w:t>现场抽样时应当购买检验样品，购买检样的价格以生产、销售产品的标价为准；没有标价的，以同类产品的市场价格为准。</w:t>
      </w:r>
    </w:p>
    <w:p>
      <w:pPr>
        <w:pStyle w:val="3"/>
        <w:spacing w:line="264" w:lineRule="auto"/>
        <w:ind w:firstLine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（二）抽样数量</w:t>
      </w:r>
    </w:p>
    <w:p>
      <w:pPr>
        <w:pStyle w:val="14"/>
        <w:shd w:val="clear" w:color="auto" w:fill="FFFFFF"/>
        <w:adjustRightInd w:val="0"/>
        <w:snapToGrid w:val="0"/>
        <w:spacing w:line="264" w:lineRule="auto"/>
        <w:ind w:firstLine="420"/>
        <w:rPr>
          <w:color w:val="auto"/>
        </w:rPr>
      </w:pPr>
      <w:r>
        <w:rPr>
          <w:color w:val="auto"/>
          <w:kern w:val="2"/>
        </w:rPr>
        <w:t>1.</w:t>
      </w:r>
      <w:r>
        <w:rPr>
          <w:color w:val="auto"/>
        </w:rPr>
        <w:t>不锈</w:t>
      </w:r>
      <w:r>
        <w:rPr>
          <w:color w:val="auto"/>
          <w:kern w:val="2"/>
        </w:rPr>
        <w:t>钢板：</w:t>
      </w:r>
      <w:r>
        <w:rPr>
          <w:color w:val="auto"/>
        </w:rPr>
        <w:t>从同一生产者同一标准生产的同一商标、牌号、状态、规格和批次的产品中随机抽取样品</w:t>
      </w:r>
      <w:r>
        <w:rPr>
          <w:color w:val="auto"/>
          <w:kern w:val="2"/>
        </w:rPr>
        <w:t>2张，</w:t>
      </w:r>
      <w:r>
        <w:rPr>
          <w:color w:val="auto"/>
        </w:rPr>
        <w:t>每张截取1块（500mm～600mm）×（300mm～400mm）的样品。并在样品上标注端头部位，注明轧制方向。</w:t>
      </w:r>
    </w:p>
    <w:p>
      <w:pPr>
        <w:pStyle w:val="14"/>
        <w:shd w:val="clear" w:color="auto" w:fill="FFFFFF"/>
        <w:adjustRightInd w:val="0"/>
        <w:snapToGrid w:val="0"/>
        <w:spacing w:line="264" w:lineRule="auto"/>
        <w:ind w:firstLine="420"/>
        <w:rPr>
          <w:color w:val="auto"/>
        </w:rPr>
      </w:pPr>
      <w:r>
        <w:rPr>
          <w:color w:val="auto"/>
          <w:kern w:val="2"/>
        </w:rPr>
        <w:t>2.</w:t>
      </w:r>
      <w:r>
        <w:rPr>
          <w:color w:val="auto"/>
        </w:rPr>
        <w:t>不锈</w:t>
      </w:r>
      <w:r>
        <w:rPr>
          <w:color w:val="auto"/>
          <w:kern w:val="2"/>
        </w:rPr>
        <w:t>钢带：</w:t>
      </w:r>
      <w:r>
        <w:rPr>
          <w:color w:val="auto"/>
        </w:rPr>
        <w:t>从同一生产者同一标准生产的同一商标、牌号、状态、规格和批次的产品中随机抽取样品</w:t>
      </w:r>
      <w:r>
        <w:rPr>
          <w:color w:val="auto"/>
          <w:kern w:val="2"/>
        </w:rPr>
        <w:t>2卷，</w:t>
      </w:r>
      <w:r>
        <w:rPr>
          <w:color w:val="auto"/>
        </w:rPr>
        <w:t>每卷截取1块长度（1000mm～1200mm）×原始宽度（</w:t>
      </w:r>
      <w:r>
        <w:rPr>
          <w:color w:val="auto"/>
          <w:kern w:val="2"/>
        </w:rPr>
        <w:t>钢带</w:t>
      </w:r>
      <w:r>
        <w:rPr>
          <w:color w:val="auto"/>
        </w:rPr>
        <w:t>原始</w:t>
      </w:r>
      <w:r>
        <w:rPr>
          <w:color w:val="auto"/>
          <w:kern w:val="2"/>
        </w:rPr>
        <w:t>宽度大于200mm时</w:t>
      </w:r>
      <w:r>
        <w:rPr>
          <w:color w:val="auto"/>
        </w:rPr>
        <w:t>截取长度为500mm～600mm）的样品。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（三）注意事项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1.上述抽样数量为本评价规则全项目所需样本量。如监督抽查任务为部分项目，按任务文件规定执行。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2.现场抽样时，被抽样生产者、销售者应提供牌号、规格、交货状态、边缘状态、尺寸外形精度等技术参数，并在抽样单上</w:t>
      </w:r>
      <w:r>
        <w:rPr>
          <w:rFonts w:hint="eastAsia" w:ascii="Times New Roman" w:hAnsi="Times New Roman" w:cs="Times New Roman"/>
        </w:rPr>
        <w:t>注明且</w:t>
      </w:r>
      <w:r>
        <w:rPr>
          <w:rFonts w:ascii="Times New Roman" w:hAnsi="Times New Roman" w:cs="Times New Roman"/>
        </w:rPr>
        <w:t>签章确认。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3.样品在运输、存储过程中应采取有效措施保证样品完好无损。</w:t>
      </w:r>
    </w:p>
    <w:p>
      <w:pPr>
        <w:snapToGrid w:val="0"/>
        <w:spacing w:line="440" w:lineRule="exact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2 检验依据</w:t>
      </w:r>
    </w:p>
    <w:p>
      <w:pPr>
        <w:pStyle w:val="3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表</w:t>
      </w:r>
      <w:r>
        <w:rPr>
          <w:rFonts w:hint="eastAsia" w:ascii="Times New Roman" w:hAnsi="Times New Roman" w:cs="Times New Roman"/>
        </w:rPr>
        <w:t>1  明示执行标准为</w:t>
      </w:r>
      <w:r>
        <w:rPr>
          <w:rFonts w:ascii="Times New Roman" w:hAnsi="Times New Roman" w:cs="Times New Roman"/>
        </w:rPr>
        <w:t>GB/T 3280-2015</w:t>
      </w:r>
      <w:r>
        <w:rPr>
          <w:rFonts w:hint="eastAsia" w:ascii="Times New Roman" w:hAnsi="Times New Roman" w:cs="Times New Roman"/>
        </w:rPr>
        <w:t>的检验项目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20"/>
        <w:gridCol w:w="1269"/>
        <w:gridCol w:w="1804"/>
        <w:gridCol w:w="959"/>
        <w:gridCol w:w="990"/>
        <w:gridCol w:w="878"/>
        <w:gridCol w:w="992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检验项目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 xml:space="preserve">标准条款 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不合格类别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设定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样本量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复检用样品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厚度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3280-2015第5.1.2条、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第7.3.1.1条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非主要项目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表面质量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3280-2015第6.6.2条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非主要项目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力学性能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规定塑性延伸强度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3280-2015第6.4条</w:t>
            </w:r>
          </w:p>
        </w:tc>
        <w:tc>
          <w:tcPr>
            <w:tcW w:w="959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99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78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947" w:type="dxa"/>
            <w:vMerge w:val="restart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抗拉强度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3280-2015第6.4条</w:t>
            </w:r>
          </w:p>
        </w:tc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断后伸长率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3280-2015第6.4条</w:t>
            </w:r>
          </w:p>
        </w:tc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硬度试验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3280-2015第6.4条</w:t>
            </w:r>
          </w:p>
        </w:tc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弯曲试验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3280-2015第6.4条</w:t>
            </w:r>
          </w:p>
        </w:tc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4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耐腐蚀性能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3280-2015第6.5条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仅适用于产品合同中有明确要求的产品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9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化学成分</w:t>
            </w:r>
          </w:p>
        </w:tc>
        <w:tc>
          <w:tcPr>
            <w:tcW w:w="180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3280-2015第6.1条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1块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</w:tbl>
    <w:p>
      <w:pPr>
        <w:pStyle w:val="3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注1</w:t>
      </w:r>
      <w:r>
        <w:rPr>
          <w:rFonts w:hint="eastAsia" w:ascii="Times New Roman" w:hAnsi="Times New Roman" w:cs="Times New Roman"/>
          <w:color w:val="000000"/>
        </w:rPr>
        <w:t>：</w:t>
      </w:r>
      <w:r>
        <w:rPr>
          <w:rFonts w:ascii="Times New Roman" w:hAnsi="Times New Roman" w:cs="Times New Roman"/>
          <w:color w:val="000000"/>
        </w:rPr>
        <w:t>力学性能中的检验项目应根据标准中的不同牌号和状态来确定，断后伸长率</w:t>
      </w:r>
      <w:r>
        <w:rPr>
          <w:rStyle w:val="15"/>
          <w:rFonts w:ascii="Times New Roman" w:hAnsi="Times New Roman" w:cs="Times New Roman"/>
          <w:color w:val="000000"/>
          <w:sz w:val="21"/>
        </w:rPr>
        <w:t>和</w:t>
      </w:r>
      <w:r>
        <w:rPr>
          <w:rFonts w:ascii="Times New Roman" w:hAnsi="Times New Roman" w:cs="Times New Roman"/>
          <w:color w:val="000000"/>
        </w:rPr>
        <w:t>硬度试验项目不适用于厚度小于0.3mm的钢板和钢带</w:t>
      </w:r>
      <w:r>
        <w:rPr>
          <w:rFonts w:ascii="Times New Roman" w:hAnsi="Times New Roman" w:cs="Times New Roman"/>
        </w:rPr>
        <w:t>。</w:t>
      </w:r>
    </w:p>
    <w:p>
      <w:pPr>
        <w:pStyle w:val="3"/>
        <w:spacing w:line="264" w:lineRule="auto"/>
        <w:rPr>
          <w:rFonts w:ascii="Times New Roman" w:hAnsi="Times New Roman" w:cs="Times New Roman"/>
        </w:rPr>
      </w:pPr>
    </w:p>
    <w:p>
      <w:pPr>
        <w:pStyle w:val="3"/>
        <w:spacing w:line="264" w:lineRule="auto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表2</w:t>
      </w:r>
      <w:r>
        <w:rPr>
          <w:rFonts w:hint="eastAsia" w:ascii="Times New Roman" w:hAnsi="Times New Roman" w:cs="Times New Roman"/>
        </w:rPr>
        <w:t xml:space="preserve">  明示执行标准为</w:t>
      </w:r>
      <w:r>
        <w:rPr>
          <w:rFonts w:ascii="Times New Roman" w:hAnsi="Times New Roman" w:cs="Times New Roman"/>
        </w:rPr>
        <w:t>GB/T 4237-2015</w:t>
      </w:r>
      <w:r>
        <w:rPr>
          <w:rFonts w:hint="eastAsia" w:ascii="Times New Roman" w:hAnsi="Times New Roman" w:cs="Times New Roman"/>
        </w:rPr>
        <w:t>的检验项目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423"/>
        <w:gridCol w:w="1271"/>
        <w:gridCol w:w="1864"/>
        <w:gridCol w:w="941"/>
        <w:gridCol w:w="983"/>
        <w:gridCol w:w="887"/>
        <w:gridCol w:w="1156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检验项目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 xml:space="preserve">标准条款 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不合格</w:t>
            </w:r>
          </w:p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类别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设定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样本量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复检用样品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厚度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4237-2015第5.1.2条、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第7.3.1.1条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非主要项目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pStyle w:val="3"/>
              <w:tabs>
                <w:tab w:val="left" w:pos="462"/>
              </w:tabs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表面质量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4237-2015第6.7.2条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非主要项目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pStyle w:val="3"/>
              <w:tabs>
                <w:tab w:val="left" w:pos="462"/>
              </w:tabs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" w:type="dxa"/>
            <w:vMerge w:val="restart"/>
            <w:noWrap w:val="0"/>
            <w:textDirection w:val="tbRlV"/>
            <w:vAlign w:val="center"/>
          </w:tcPr>
          <w:p>
            <w:pPr>
              <w:pStyle w:val="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力学性能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规定塑性延伸强度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4237-2015第6.4条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vMerge w:val="restart"/>
            <w:noWrap w:val="0"/>
            <w:vAlign w:val="center"/>
          </w:tcPr>
          <w:p>
            <w:pPr>
              <w:tabs>
                <w:tab w:val="left" w:pos="657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抗拉强度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4237-2015第6.4条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断后伸长率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4237-2015第6.4条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硬度试验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4237-2015第6.4条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弯曲试验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tabs>
                <w:tab w:val="left" w:pos="17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4237-2015第6.4条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728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94" w:type="dxa"/>
            <w:gridSpan w:val="2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耐腐蚀性能</w:t>
            </w:r>
          </w:p>
        </w:tc>
        <w:tc>
          <w:tcPr>
            <w:tcW w:w="1864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4237-2015第6.5条</w:t>
            </w:r>
          </w:p>
        </w:tc>
        <w:tc>
          <w:tcPr>
            <w:tcW w:w="941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3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87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1156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仅适用于产品合同中有明确要求的产品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4" w:type="dxa"/>
            <w:gridSpan w:val="2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晶粒度</w:t>
            </w:r>
          </w:p>
        </w:tc>
        <w:tc>
          <w:tcPr>
            <w:tcW w:w="186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4237-2015第6.6条</w:t>
            </w:r>
          </w:p>
        </w:tc>
        <w:tc>
          <w:tcPr>
            <w:tcW w:w="941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8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1156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仅适用于产品合同中有明确要求的产品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化学成分</w:t>
            </w:r>
          </w:p>
        </w:tc>
        <w:tc>
          <w:tcPr>
            <w:tcW w:w="186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4237-2015第6.2条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1块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</w:tbl>
    <w:p>
      <w:pPr>
        <w:pStyle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注1：力学性能中的检验项目应根据标准中的不同牌号和状态来确定。</w:t>
      </w:r>
    </w:p>
    <w:p>
      <w:pPr>
        <w:pStyle w:val="3"/>
        <w:rPr>
          <w:rFonts w:ascii="Times New Roman" w:hAnsi="Times New Roman" w:cs="Times New Roman"/>
        </w:rPr>
      </w:pPr>
    </w:p>
    <w:p>
      <w:pPr>
        <w:pStyle w:val="3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表3</w:t>
      </w:r>
      <w:r>
        <w:rPr>
          <w:rFonts w:hint="eastAsia" w:ascii="Times New Roman" w:hAnsi="Times New Roman" w:cs="Times New Roman"/>
        </w:rPr>
        <w:t xml:space="preserve">  明示执行标准为</w:t>
      </w:r>
      <w:r>
        <w:rPr>
          <w:rFonts w:ascii="Times New Roman" w:hAnsi="Times New Roman" w:cs="Times New Roman"/>
        </w:rPr>
        <w:t>GB/T 4238-2015</w:t>
      </w:r>
      <w:r>
        <w:rPr>
          <w:rFonts w:hint="eastAsia" w:ascii="Times New Roman" w:hAnsi="Times New Roman" w:cs="Times New Roman"/>
        </w:rPr>
        <w:t>的检验项目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421"/>
        <w:gridCol w:w="1266"/>
        <w:gridCol w:w="1857"/>
        <w:gridCol w:w="937"/>
        <w:gridCol w:w="1114"/>
        <w:gridCol w:w="884"/>
        <w:gridCol w:w="923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2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检验项目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标准条款</w:t>
            </w:r>
          </w:p>
        </w:tc>
        <w:tc>
          <w:tcPr>
            <w:tcW w:w="937" w:type="dxa"/>
            <w:noWrap w:val="0"/>
            <w:vAlign w:val="center"/>
          </w:tcPr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不合格</w:t>
            </w:r>
          </w:p>
          <w:p>
            <w:pPr>
              <w:pStyle w:val="3"/>
              <w:jc w:val="center"/>
              <w:rPr>
                <w:rStyle w:val="15"/>
                <w:rFonts w:ascii="Times New Roman" w:hAnsi="Times New Roman" w:cs="Times New Roman"/>
                <w:sz w:val="21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类别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设定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样本量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复检用样品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厚度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4238-2015第4条</w:t>
            </w:r>
          </w:p>
        </w:tc>
        <w:tc>
          <w:tcPr>
            <w:tcW w:w="93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72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表面质量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4238-2015第5.7条</w:t>
            </w:r>
          </w:p>
        </w:tc>
        <w:tc>
          <w:tcPr>
            <w:tcW w:w="937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非主要项目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dxa"/>
            <w:vMerge w:val="restart"/>
            <w:noWrap w:val="0"/>
            <w:textDirection w:val="tbRlV"/>
            <w:vAlign w:val="center"/>
          </w:tcPr>
          <w:p>
            <w:pPr>
              <w:pStyle w:val="3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力学性能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规定塑性延伸强度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4238-2015第5.4条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</w:t>
            </w:r>
          </w:p>
        </w:tc>
        <w:tc>
          <w:tcPr>
            <w:tcW w:w="884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2块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vMerge w:val="restart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注1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抗拉强度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4238-2015第5.4条</w:t>
            </w:r>
          </w:p>
        </w:tc>
        <w:tc>
          <w:tcPr>
            <w:tcW w:w="93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8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pStyle w:val="3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  <w:sz w:val="21"/>
              </w:rPr>
              <w:t>断后伸长率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4238-2015第5.4条</w:t>
            </w:r>
          </w:p>
        </w:tc>
        <w:tc>
          <w:tcPr>
            <w:tcW w:w="93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8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硬度试验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4238-2015第5.4条</w:t>
            </w:r>
          </w:p>
        </w:tc>
        <w:tc>
          <w:tcPr>
            <w:tcW w:w="93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8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vMerge w:val="continue"/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弯曲试验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4238-2015第5.4条</w:t>
            </w:r>
          </w:p>
        </w:tc>
        <w:tc>
          <w:tcPr>
            <w:tcW w:w="93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84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原样</w:t>
            </w:r>
          </w:p>
        </w:tc>
        <w:tc>
          <w:tcPr>
            <w:tcW w:w="1865" w:type="dxa"/>
            <w:vMerge w:val="continue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gridSpan w:val="2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晶粒度</w:t>
            </w:r>
          </w:p>
        </w:tc>
        <w:tc>
          <w:tcPr>
            <w:tcW w:w="185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4238-2015第5.5条</w:t>
            </w:r>
          </w:p>
        </w:tc>
        <w:tc>
          <w:tcPr>
            <w:tcW w:w="937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1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84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2块</w:t>
            </w:r>
          </w:p>
        </w:tc>
        <w:tc>
          <w:tcPr>
            <w:tcW w:w="923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865" w:type="dxa"/>
            <w:tcBorders>
              <w:top w:val="single" w:color="auto" w:sz="2" w:space="0"/>
            </w:tcBorders>
            <w:noWrap w:val="0"/>
            <w:vAlign w:val="center"/>
          </w:tcPr>
          <w:p>
            <w:pPr>
              <w:pStyle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仅适用于产品合同中有明确要求的产品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2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化学成分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GB/T 4238-2015第5.2条</w:t>
            </w:r>
          </w:p>
        </w:tc>
        <w:tc>
          <w:tcPr>
            <w:tcW w:w="937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14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主要</w:t>
            </w:r>
          </w:p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1块</w:t>
            </w:r>
          </w:p>
        </w:tc>
        <w:tc>
          <w:tcPr>
            <w:tcW w:w="923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原样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pStyle w:val="3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/</w:t>
            </w:r>
          </w:p>
        </w:tc>
      </w:tr>
    </w:tbl>
    <w:p>
      <w:pPr>
        <w:pStyle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注1：力学性能中的检验项目应根据标准中的不同牌号和状态来确定。</w:t>
      </w:r>
    </w:p>
    <w:p>
      <w:pPr>
        <w:spacing w:before="156" w:beforeLines="50"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3 判定规则</w:t>
      </w:r>
    </w:p>
    <w:p>
      <w:pPr>
        <w:snapToGrid w:val="0"/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>3.1依据标准</w:t>
      </w:r>
    </w:p>
    <w:p>
      <w:pPr>
        <w:pStyle w:val="3"/>
        <w:spacing w:line="264" w:lineRule="auto"/>
        <w:ind w:firstLine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GB/T 3280-2015  不锈钢冷轧钢板和钢带</w:t>
      </w:r>
    </w:p>
    <w:p>
      <w:pPr>
        <w:pStyle w:val="3"/>
        <w:spacing w:line="264" w:lineRule="auto"/>
        <w:ind w:firstLine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GB/T 4237-2015  不锈钢热轧钢板和钢带</w:t>
      </w:r>
    </w:p>
    <w:p>
      <w:pPr>
        <w:pStyle w:val="3"/>
        <w:spacing w:line="264" w:lineRule="auto"/>
        <w:ind w:firstLine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GB/T 4238-2015  耐热钢钢板和钢带</w:t>
      </w:r>
    </w:p>
    <w:p>
      <w:pPr>
        <w:snapToGrid w:val="0"/>
        <w:spacing w:line="4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产品明示质量指标及国家法律、法规、规章的有关规定</w:t>
      </w:r>
    </w:p>
    <w:p>
      <w:pPr>
        <w:snapToGrid w:val="0"/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>3.2判定原则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（一）判定总则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1.当产品的国家、行业、地方强制性标准（含国家、行业、地方推荐性标准中的强制性条款）和执行的企业标准（含明示质量指标）各技术要求不一致时，应按其中最严要求进行质量判定。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2.当产品执行国家、行业、地方标准时,按国家、行业、地方标准要求进行质量判定。</w:t>
      </w:r>
    </w:p>
    <w:p>
      <w:pPr>
        <w:pStyle w:val="3"/>
        <w:adjustRightInd w:val="0"/>
        <w:snapToGrid w:val="0"/>
        <w:spacing w:line="26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当产品执行企业标准（含明示质量指标）时，按其企业标准要求进行质量判定，但如主要项目技术要求低于国家、行业、推荐性标准要求（含国家、行业、地方强制性标准中的推荐性条款）时，应在检验报告中注明主要项目的实测值和标准值。</w:t>
      </w:r>
    </w:p>
    <w:p>
      <w:pPr>
        <w:adjustRightInd w:val="0"/>
        <w:snapToGrid w:val="0"/>
        <w:spacing w:line="264" w:lineRule="auto"/>
        <w:ind w:firstLine="420" w:firstLineChars="200"/>
        <w:jc w:val="left"/>
      </w:pPr>
      <w:r>
        <w:t>（二）单项质量判定</w:t>
      </w:r>
    </w:p>
    <w:p>
      <w:pPr>
        <w:pStyle w:val="3"/>
        <w:spacing w:line="264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当所检项目检验结果符合执行标准中该项目要求时，判该项目为符合执行标准要求；否则判该项目为不符合执行标准要求。</w:t>
      </w:r>
    </w:p>
    <w:p>
      <w:pPr>
        <w:adjustRightInd w:val="0"/>
        <w:snapToGrid w:val="0"/>
        <w:spacing w:line="264" w:lineRule="auto"/>
        <w:ind w:firstLine="420" w:firstLineChars="200"/>
        <w:jc w:val="left"/>
      </w:pPr>
      <w:r>
        <w:t>（三）综合质量判定</w:t>
      </w:r>
    </w:p>
    <w:p>
      <w:pPr>
        <w:spacing w:line="264" w:lineRule="auto"/>
        <w:ind w:firstLine="420" w:firstLineChars="200"/>
      </w:pPr>
      <w:r>
        <w:t>1.检验样本中一个或一个以上项目出现不符合执行要求判定的，则检验结论为“不合格”。</w:t>
      </w:r>
    </w:p>
    <w:p>
      <w:pPr>
        <w:spacing w:line="264" w:lineRule="auto"/>
        <w:ind w:firstLine="420" w:firstLineChars="200"/>
      </w:pPr>
      <w:r>
        <w:t>2.产品符合执行标准要求，且所检主要项目的检验结果符合国家、行业、地方标准中推荐性条款要求的，检验结论为“所检项目符合本次监督抽查要求”。</w:t>
      </w:r>
    </w:p>
    <w:p>
      <w:pPr>
        <w:spacing w:line="264" w:lineRule="auto"/>
        <w:ind w:firstLine="420" w:firstLineChars="200"/>
      </w:pPr>
      <w:r>
        <w:t>3.产品符合执行标准要求，但所检主要项目的检验结果出现一个或一个以上低于国家、行业、地方标准中推荐性条款要求的，检验结论为“所检项目符合企业标准，未达到国家、行业、地方标准规定”。</w:t>
      </w:r>
    </w:p>
    <w:p>
      <w:pPr>
        <w:adjustRightInd w:val="0"/>
        <w:snapToGrid w:val="0"/>
        <w:spacing w:line="264" w:lineRule="auto"/>
        <w:rPr>
          <w:szCs w:val="21"/>
        </w:rPr>
      </w:pPr>
    </w:p>
    <w:p>
      <w:pPr>
        <w:snapToGrid w:val="0"/>
        <w:spacing w:line="440" w:lineRule="exact"/>
        <w:ind w:firstLine="417" w:firstLineChars="199"/>
        <w:rPr>
          <w:color w:val="000000"/>
          <w:szCs w:val="21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985" w:right="1474" w:bottom="1644" w:left="1474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1</w:t>
    </w:r>
    <w:r>
      <w:rPr>
        <w:lang w:val="zh-CN"/>
      </w:rP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Yjk3ZTI3NjEwN2E2ZGFkMmNlNGQ0ZDA3YTkzYWIifQ=="/>
  </w:docVars>
  <w:rsids>
    <w:rsidRoot w:val="00172A27"/>
    <w:rsid w:val="00012EEB"/>
    <w:rsid w:val="00051A44"/>
    <w:rsid w:val="00052092"/>
    <w:rsid w:val="00055C43"/>
    <w:rsid w:val="00063F78"/>
    <w:rsid w:val="000770C5"/>
    <w:rsid w:val="00081CBD"/>
    <w:rsid w:val="0008480D"/>
    <w:rsid w:val="0009216E"/>
    <w:rsid w:val="000976DE"/>
    <w:rsid w:val="000A0A61"/>
    <w:rsid w:val="000B7E87"/>
    <w:rsid w:val="000C27EF"/>
    <w:rsid w:val="000E2DE0"/>
    <w:rsid w:val="000F14E9"/>
    <w:rsid w:val="00125916"/>
    <w:rsid w:val="001565C3"/>
    <w:rsid w:val="00172A27"/>
    <w:rsid w:val="001809DD"/>
    <w:rsid w:val="00197642"/>
    <w:rsid w:val="001A51E1"/>
    <w:rsid w:val="001F3D40"/>
    <w:rsid w:val="00205BC7"/>
    <w:rsid w:val="00247E11"/>
    <w:rsid w:val="002501F8"/>
    <w:rsid w:val="00253624"/>
    <w:rsid w:val="002627EB"/>
    <w:rsid w:val="00273AE5"/>
    <w:rsid w:val="00275517"/>
    <w:rsid w:val="002A25C4"/>
    <w:rsid w:val="002D7F8A"/>
    <w:rsid w:val="002E0D1D"/>
    <w:rsid w:val="002E4610"/>
    <w:rsid w:val="003203A3"/>
    <w:rsid w:val="00392BF9"/>
    <w:rsid w:val="003B33A1"/>
    <w:rsid w:val="003B65A7"/>
    <w:rsid w:val="003C08F8"/>
    <w:rsid w:val="003C388C"/>
    <w:rsid w:val="003C4EF1"/>
    <w:rsid w:val="003D62CE"/>
    <w:rsid w:val="003D6DF1"/>
    <w:rsid w:val="003E011E"/>
    <w:rsid w:val="003E61BF"/>
    <w:rsid w:val="003F7F34"/>
    <w:rsid w:val="00400560"/>
    <w:rsid w:val="00445E86"/>
    <w:rsid w:val="0045059C"/>
    <w:rsid w:val="00467E74"/>
    <w:rsid w:val="00474E04"/>
    <w:rsid w:val="00483AC6"/>
    <w:rsid w:val="004A0936"/>
    <w:rsid w:val="004D0C5A"/>
    <w:rsid w:val="004D31EC"/>
    <w:rsid w:val="004E02D3"/>
    <w:rsid w:val="004E1396"/>
    <w:rsid w:val="004E7C02"/>
    <w:rsid w:val="004F261B"/>
    <w:rsid w:val="005328AC"/>
    <w:rsid w:val="00551B06"/>
    <w:rsid w:val="005623DE"/>
    <w:rsid w:val="00563EBC"/>
    <w:rsid w:val="005868F9"/>
    <w:rsid w:val="00593498"/>
    <w:rsid w:val="005A1399"/>
    <w:rsid w:val="005A34AC"/>
    <w:rsid w:val="005B64D3"/>
    <w:rsid w:val="005D0F42"/>
    <w:rsid w:val="005F4CC6"/>
    <w:rsid w:val="00634C4F"/>
    <w:rsid w:val="006440C7"/>
    <w:rsid w:val="00661CE9"/>
    <w:rsid w:val="006734CA"/>
    <w:rsid w:val="00673C07"/>
    <w:rsid w:val="006A5215"/>
    <w:rsid w:val="006F0971"/>
    <w:rsid w:val="0072334C"/>
    <w:rsid w:val="0074501E"/>
    <w:rsid w:val="007752EB"/>
    <w:rsid w:val="007A5C0E"/>
    <w:rsid w:val="007B75EE"/>
    <w:rsid w:val="007C3667"/>
    <w:rsid w:val="007F583F"/>
    <w:rsid w:val="008139C8"/>
    <w:rsid w:val="0082012D"/>
    <w:rsid w:val="0084012D"/>
    <w:rsid w:val="0087041A"/>
    <w:rsid w:val="00871617"/>
    <w:rsid w:val="008726BF"/>
    <w:rsid w:val="00895BEA"/>
    <w:rsid w:val="008A3497"/>
    <w:rsid w:val="008A61A4"/>
    <w:rsid w:val="008B1BD3"/>
    <w:rsid w:val="008C50E2"/>
    <w:rsid w:val="008E39B1"/>
    <w:rsid w:val="00916926"/>
    <w:rsid w:val="00916BE5"/>
    <w:rsid w:val="00917A54"/>
    <w:rsid w:val="00920DA2"/>
    <w:rsid w:val="00926C29"/>
    <w:rsid w:val="00930572"/>
    <w:rsid w:val="00936B2A"/>
    <w:rsid w:val="00944A63"/>
    <w:rsid w:val="00967C26"/>
    <w:rsid w:val="009865FB"/>
    <w:rsid w:val="009C6AE2"/>
    <w:rsid w:val="009E01DE"/>
    <w:rsid w:val="009F7375"/>
    <w:rsid w:val="00A1287B"/>
    <w:rsid w:val="00A25C52"/>
    <w:rsid w:val="00A26C6B"/>
    <w:rsid w:val="00A371F4"/>
    <w:rsid w:val="00A42847"/>
    <w:rsid w:val="00A43553"/>
    <w:rsid w:val="00A62E74"/>
    <w:rsid w:val="00A760C9"/>
    <w:rsid w:val="00A76D9F"/>
    <w:rsid w:val="00A80009"/>
    <w:rsid w:val="00A83893"/>
    <w:rsid w:val="00A902CC"/>
    <w:rsid w:val="00AA128C"/>
    <w:rsid w:val="00B3329E"/>
    <w:rsid w:val="00B5743B"/>
    <w:rsid w:val="00BA20EF"/>
    <w:rsid w:val="00BC52DB"/>
    <w:rsid w:val="00BF24FC"/>
    <w:rsid w:val="00BF5D64"/>
    <w:rsid w:val="00BF76DB"/>
    <w:rsid w:val="00C26074"/>
    <w:rsid w:val="00C34757"/>
    <w:rsid w:val="00C44CD6"/>
    <w:rsid w:val="00C626EC"/>
    <w:rsid w:val="00C83B0A"/>
    <w:rsid w:val="00C924E8"/>
    <w:rsid w:val="00CC137A"/>
    <w:rsid w:val="00CC195A"/>
    <w:rsid w:val="00CD37A8"/>
    <w:rsid w:val="00CE1E0C"/>
    <w:rsid w:val="00CE277E"/>
    <w:rsid w:val="00D120FA"/>
    <w:rsid w:val="00D1237C"/>
    <w:rsid w:val="00D50D7D"/>
    <w:rsid w:val="00D56867"/>
    <w:rsid w:val="00D7436E"/>
    <w:rsid w:val="00DE2075"/>
    <w:rsid w:val="00E02A7F"/>
    <w:rsid w:val="00E07880"/>
    <w:rsid w:val="00E53438"/>
    <w:rsid w:val="00E82621"/>
    <w:rsid w:val="00EA3D96"/>
    <w:rsid w:val="00ED4450"/>
    <w:rsid w:val="00ED5419"/>
    <w:rsid w:val="00ED6985"/>
    <w:rsid w:val="00F1455F"/>
    <w:rsid w:val="00F332B6"/>
    <w:rsid w:val="00F5372E"/>
    <w:rsid w:val="00F57D43"/>
    <w:rsid w:val="00F77C9A"/>
    <w:rsid w:val="00F86832"/>
    <w:rsid w:val="00FA47C4"/>
    <w:rsid w:val="00FB576C"/>
    <w:rsid w:val="00FD2AA6"/>
    <w:rsid w:val="00FE14EF"/>
    <w:rsid w:val="00FE7E8A"/>
    <w:rsid w:val="00FF5DCC"/>
    <w:rsid w:val="045917D2"/>
    <w:rsid w:val="09234C9E"/>
    <w:rsid w:val="0BF3562B"/>
    <w:rsid w:val="11473DDB"/>
    <w:rsid w:val="1A784B4A"/>
    <w:rsid w:val="1B9113EA"/>
    <w:rsid w:val="1FCA6F35"/>
    <w:rsid w:val="2B146CC8"/>
    <w:rsid w:val="56FD6278"/>
    <w:rsid w:val="575527A0"/>
    <w:rsid w:val="59E81116"/>
    <w:rsid w:val="631E53A1"/>
    <w:rsid w:val="636B2161"/>
    <w:rsid w:val="6F917C18"/>
    <w:rsid w:val="6FE07B46"/>
    <w:rsid w:val="7B0B018A"/>
    <w:rsid w:val="7C782283"/>
    <w:rsid w:val="7EDB396C"/>
    <w:rsid w:val="7EEB53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Plain Text"/>
    <w:basedOn w:val="1"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  <w:style w:type="character" w:customStyle="1" w:styleId="10">
    <w:name w:val="页脚 字符"/>
    <w:basedOn w:val="8"/>
    <w:link w:val="5"/>
    <w:autoRedefine/>
    <w:qFormat/>
    <w:uiPriority w:val="99"/>
    <w:rPr>
      <w:kern w:val="2"/>
      <w:sz w:val="18"/>
      <w:szCs w:val="18"/>
    </w:rPr>
  </w:style>
  <w:style w:type="character" w:customStyle="1" w:styleId="11">
    <w:name w:val="页眉 字符"/>
    <w:basedOn w:val="8"/>
    <w:link w:val="6"/>
    <w:autoRedefine/>
    <w:semiHidden/>
    <w:qFormat/>
    <w:uiPriority w:val="99"/>
    <w:rPr>
      <w:kern w:val="2"/>
      <w:sz w:val="18"/>
      <w:szCs w:val="18"/>
    </w:rPr>
  </w:style>
  <w:style w:type="paragraph" w:customStyle="1" w:styleId="1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8"/>
    <w:link w:val="4"/>
    <w:autoRedefine/>
    <w:semiHidden/>
    <w:qFormat/>
    <w:uiPriority w:val="99"/>
    <w:rPr>
      <w:kern w:val="2"/>
      <w:sz w:val="18"/>
      <w:szCs w:val="18"/>
    </w:rPr>
  </w:style>
  <w:style w:type="paragraph" w:customStyle="1" w:styleId="14">
    <w:name w:val="p17"/>
    <w:basedOn w:val="1"/>
    <w:autoRedefine/>
    <w:qFormat/>
    <w:uiPriority w:val="0"/>
    <w:pPr>
      <w:widowControl/>
    </w:pPr>
    <w:rPr>
      <w:color w:val="000000"/>
      <w:kern w:val="0"/>
      <w:szCs w:val="21"/>
    </w:rPr>
  </w:style>
  <w:style w:type="character" w:customStyle="1" w:styleId="15">
    <w:name w:val="个人答复风格"/>
    <w:autoRedefine/>
    <w:qFormat/>
    <w:uiPriority w:val="0"/>
    <w:rPr>
      <w:rFonts w:ascii="Arial" w:hAnsi="Arial" w:eastAsia="宋体"/>
      <w:color w:val="auto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3</Pages>
  <Words>289</Words>
  <Characters>1650</Characters>
  <Lines>13</Lines>
  <Paragraphs>3</Paragraphs>
  <TotalTime>0</TotalTime>
  <ScaleCrop>false</ScaleCrop>
  <LinksUpToDate>false</LinksUpToDate>
  <CharactersWithSpaces>1936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2024-01-16T23:40:00Z</dcterms:created>
  <dc:creator>Legend User</dc:creator>
  <cp:lastModifiedBy>春天的信使</cp:lastModifiedBy>
  <cp:lastPrinted>2019-12-26T06:50:00Z</cp:lastPrinted>
  <dcterms:modified xsi:type="dcterms:W3CDTF">2024-04-12T04:35:30Z</dcterms:modified>
  <dc:title>××产品质量监督抽查实施细则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876F8A188D5143E7A1429EFE9A8920F4_13</vt:lpwstr>
  </property>
</Properties>
</file>