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after="240"/>
        <w:jc w:val="center"/>
        <w:rPr>
          <w:rFonts w:hint="default" w:ascii="Times New Roman" w:hAnsi="Times New Roman" w:eastAsia="黑体" w:cs="Times New Roman"/>
          <w:bCs/>
          <w:kern w:val="0"/>
          <w:sz w:val="36"/>
          <w:szCs w:val="36"/>
          <w:lang w:val="en-GB" w:bidi="ar-AE"/>
        </w:rPr>
      </w:pPr>
      <w:r>
        <w:rPr>
          <w:rFonts w:hint="default" w:ascii="Times New Roman" w:hAnsi="Times New Roman" w:eastAsia="黑体" w:cs="Times New Roman"/>
          <w:bCs/>
          <w:sz w:val="36"/>
          <w:szCs w:val="36"/>
          <w:lang w:val="en-US" w:eastAsia="zh-CN"/>
        </w:rPr>
        <w:t xml:space="preserve"> </w:t>
      </w:r>
      <w:r>
        <w:rPr>
          <w:rFonts w:hint="default" w:ascii="Times New Roman" w:hAnsi="Times New Roman" w:eastAsia="黑体" w:cs="Times New Roman"/>
          <w:bCs/>
          <w:kern w:val="0"/>
          <w:sz w:val="36"/>
          <w:szCs w:val="36"/>
          <w:lang w:val="en-GB" w:bidi="ar-AE"/>
        </w:rPr>
        <w:t>经营者集中简易案件公示表</w:t>
      </w:r>
    </w:p>
    <w:tbl>
      <w:tblPr>
        <w:tblStyle w:val="4"/>
        <w:tblW w:w="8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2"/>
        <w:gridCol w:w="1961"/>
        <w:gridCol w:w="52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52" w:type="dxa"/>
            <w:shd w:val="clear" w:color="auto" w:fill="D9D9D9"/>
            <w:vAlign w:val="center"/>
          </w:tcPr>
          <w:p>
            <w:pPr>
              <w:pStyle w:val="3"/>
              <w:spacing w:after="0"/>
              <w:jc w:val="left"/>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案件名称</w:t>
            </w:r>
          </w:p>
        </w:tc>
        <w:tc>
          <w:tcPr>
            <w:tcW w:w="7167" w:type="dxa"/>
            <w:gridSpan w:val="2"/>
            <w:shd w:val="clear" w:color="auto" w:fill="auto"/>
            <w:vAlign w:val="center"/>
          </w:tcPr>
          <w:p>
            <w:pPr>
              <w:snapToGrid w:val="0"/>
              <w:spacing w:after="0"/>
              <w:jc w:val="left"/>
              <w:rPr>
                <w:rFonts w:hint="eastAsia" w:asciiTheme="minorEastAsia" w:hAnsiTheme="minorEastAsia" w:eastAsiaTheme="minorEastAsia" w:cstheme="minorEastAsia"/>
                <w:b/>
                <w:color w:val="0000FF"/>
                <w:sz w:val="24"/>
              </w:rPr>
            </w:pPr>
            <w:r>
              <w:rPr>
                <w:rFonts w:hint="eastAsia" w:asciiTheme="minorEastAsia" w:hAnsiTheme="minorEastAsia" w:eastAsiaTheme="minorEastAsia" w:cstheme="minorEastAsia"/>
                <w:color w:val="000000"/>
                <w:sz w:val="24"/>
                <w:lang w:val="en-US"/>
              </w:rPr>
              <w:t>麦格理基础设施与不动产资产核心有限公司收购海德鲁REIN股份有限公司股权案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1" w:hRule="atLeast"/>
          <w:jc w:val="center"/>
        </w:trPr>
        <w:tc>
          <w:tcPr>
            <w:tcW w:w="1752" w:type="dxa"/>
            <w:shd w:val="clear" w:color="auto" w:fill="D9D9D9"/>
            <w:vAlign w:val="center"/>
          </w:tcPr>
          <w:p>
            <w:pPr>
              <w:pStyle w:val="3"/>
              <w:spacing w:after="0"/>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交易概况（限200字内）</w:t>
            </w:r>
          </w:p>
        </w:tc>
        <w:tc>
          <w:tcPr>
            <w:tcW w:w="7167" w:type="dxa"/>
            <w:gridSpan w:val="2"/>
            <w:shd w:val="clear" w:color="auto" w:fill="auto"/>
            <w:vAlign w:val="center"/>
          </w:tcPr>
          <w:p>
            <w:pPr>
              <w:snapToGrid w:val="0"/>
              <w:spacing w:after="0"/>
              <w:rPr>
                <w:rFonts w:hint="eastAsia" w:asciiTheme="minorEastAsia" w:hAnsiTheme="minorEastAsia" w:eastAsiaTheme="minorEastAsia" w:cstheme="minorEastAsia"/>
                <w:color w:val="000000"/>
                <w:sz w:val="24"/>
                <w:lang w:val="en-US"/>
              </w:rPr>
            </w:pPr>
            <w:r>
              <w:rPr>
                <w:rFonts w:hint="eastAsia" w:asciiTheme="minorEastAsia" w:hAnsiTheme="minorEastAsia" w:eastAsiaTheme="minorEastAsia" w:cstheme="minorEastAsia"/>
                <w:color w:val="000000"/>
                <w:sz w:val="24"/>
                <w:lang w:val="en-US"/>
              </w:rPr>
              <w:t>海德鲁能源有限公司（“海德鲁能源”）和麦格理基础设施与不动产资产核心有限公司（“麦格理基础设施”）</w:t>
            </w:r>
            <w:r>
              <w:rPr>
                <w:rFonts w:hint="eastAsia" w:asciiTheme="minorEastAsia" w:hAnsiTheme="minorEastAsia" w:eastAsiaTheme="minorEastAsia" w:cstheme="minorEastAsia"/>
                <w:color w:val="000000"/>
                <w:sz w:val="24"/>
                <w:lang w:val="en-US" w:eastAsia="zh-CN"/>
              </w:rPr>
              <w:t>签署</w:t>
            </w:r>
            <w:r>
              <w:rPr>
                <w:rFonts w:hint="eastAsia" w:asciiTheme="minorEastAsia" w:hAnsiTheme="minorEastAsia" w:eastAsiaTheme="minorEastAsia" w:cstheme="minorEastAsia"/>
                <w:color w:val="000000"/>
                <w:sz w:val="24"/>
                <w:lang w:val="en-US"/>
              </w:rPr>
              <w:t>协议，麦格理拟收购海德鲁REIN股份有限公司（“海德鲁REIN”）49.9%的股权。交易前，海德鲁能源持有海德鲁REIN 100%的股权。交易后，麦格理基础设施和海德鲁能源将分别持有海德鲁REIN 49.9%和50.1%的股权，共同控制海德鲁REIN。海德鲁REIN将在欧洲和巴西从事电力生产和批发供应业务。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1" w:hRule="atLeast"/>
          <w:jc w:val="center"/>
        </w:trPr>
        <w:tc>
          <w:tcPr>
            <w:tcW w:w="1752" w:type="dxa"/>
            <w:vMerge w:val="restart"/>
            <w:shd w:val="clear" w:color="auto" w:fill="D9D9D9"/>
            <w:vAlign w:val="center"/>
          </w:tcPr>
          <w:p>
            <w:pPr>
              <w:pStyle w:val="3"/>
              <w:spacing w:after="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参与集中的经营者简介</w:t>
            </w:r>
          </w:p>
        </w:tc>
        <w:tc>
          <w:tcPr>
            <w:tcW w:w="1961" w:type="dxa"/>
            <w:shd w:val="clear" w:color="auto" w:fill="auto"/>
            <w:vAlign w:val="center"/>
          </w:tcPr>
          <w:p>
            <w:pPr>
              <w:pStyle w:val="3"/>
              <w:numPr>
                <w:ilvl w:val="0"/>
                <w:numId w:val="0"/>
              </w:numPr>
              <w:spacing w:after="0"/>
              <w:ind w:leftChars="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1.</w:t>
            </w:r>
            <w:r>
              <w:rPr>
                <w:rFonts w:hint="eastAsia" w:asciiTheme="minorEastAsia" w:hAnsiTheme="minorEastAsia" w:eastAsiaTheme="minorEastAsia" w:cstheme="minorEastAsia"/>
                <w:color w:val="000000"/>
                <w:sz w:val="24"/>
              </w:rPr>
              <w:t>麦格理基础设施</w:t>
            </w:r>
          </w:p>
        </w:tc>
        <w:tc>
          <w:tcPr>
            <w:tcW w:w="5206" w:type="dxa"/>
            <w:shd w:val="clear" w:color="auto" w:fill="auto"/>
            <w:vAlign w:val="center"/>
          </w:tcPr>
          <w:p>
            <w:pPr>
              <w:snapToGrid w:val="0"/>
              <w:spacing w:after="0"/>
              <w:rPr>
                <w:rFonts w:hint="eastAsia" w:asciiTheme="minorEastAsia" w:hAnsiTheme="minorEastAsia" w:eastAsiaTheme="minorEastAsia" w:cstheme="minorEastAsia"/>
                <w:color w:val="000000"/>
                <w:sz w:val="24"/>
                <w:lang w:val="en-US"/>
              </w:rPr>
            </w:pPr>
            <w:r>
              <w:rPr>
                <w:rFonts w:hint="eastAsia" w:asciiTheme="minorEastAsia" w:hAnsiTheme="minorEastAsia" w:eastAsiaTheme="minorEastAsia" w:cstheme="minorEastAsia"/>
                <w:color w:val="000000"/>
                <w:sz w:val="24"/>
                <w:lang w:val="en-US"/>
              </w:rPr>
              <w:t>麦格理基础设施于2017年2月27日成立于英国，主要业务是负责麦格理集团有限公司内资产管理运行部门进行的投资。</w:t>
            </w:r>
          </w:p>
          <w:p>
            <w:pPr>
              <w:snapToGrid w:val="0"/>
              <w:spacing w:after="0"/>
              <w:rPr>
                <w:rFonts w:hint="eastAsia" w:asciiTheme="minorEastAsia" w:hAnsiTheme="minorEastAsia" w:eastAsiaTheme="minorEastAsia" w:cstheme="minorEastAsia"/>
                <w:color w:val="000000"/>
                <w:sz w:val="24"/>
                <w:lang w:val="en-US"/>
              </w:rPr>
            </w:pPr>
            <w:r>
              <w:rPr>
                <w:rFonts w:hint="eastAsia" w:asciiTheme="minorEastAsia" w:hAnsiTheme="minorEastAsia" w:eastAsiaTheme="minorEastAsia" w:cstheme="minorEastAsia"/>
                <w:color w:val="000000"/>
                <w:sz w:val="24"/>
                <w:lang w:val="en-US"/>
              </w:rPr>
              <w:t>麦格理基础设施的最终控制人是麦格理集团有限公司，为澳大利亚证券交易所上市公司，主要业务是为客户提供资产管理和融资、银行业务、咨询以及风险和资本解决方案。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2" w:hRule="atLeast"/>
          <w:jc w:val="center"/>
        </w:trPr>
        <w:tc>
          <w:tcPr>
            <w:tcW w:w="1752" w:type="dxa"/>
            <w:vMerge w:val="continue"/>
            <w:shd w:val="clear" w:color="auto" w:fill="D9D9D9"/>
            <w:vAlign w:val="center"/>
          </w:tcPr>
          <w:p>
            <w:pPr>
              <w:pStyle w:val="3"/>
              <w:spacing w:after="0"/>
              <w:rPr>
                <w:rFonts w:hint="eastAsia" w:asciiTheme="minorEastAsia" w:hAnsiTheme="minorEastAsia" w:eastAsiaTheme="minorEastAsia" w:cstheme="minorEastAsia"/>
                <w:sz w:val="24"/>
              </w:rPr>
            </w:pPr>
          </w:p>
        </w:tc>
        <w:tc>
          <w:tcPr>
            <w:tcW w:w="1961" w:type="dxa"/>
            <w:shd w:val="clear" w:color="auto" w:fill="auto"/>
            <w:vAlign w:val="center"/>
          </w:tcPr>
          <w:p>
            <w:pPr>
              <w:pStyle w:val="3"/>
              <w:numPr>
                <w:ilvl w:val="0"/>
                <w:numId w:val="0"/>
              </w:numPr>
              <w:spacing w:after="0"/>
              <w:ind w:leftChars="0"/>
              <w:jc w:val="left"/>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eastAsia="zh-CN"/>
              </w:rPr>
              <w:t>2.</w:t>
            </w:r>
            <w:r>
              <w:rPr>
                <w:rFonts w:hint="eastAsia" w:asciiTheme="minorEastAsia" w:hAnsiTheme="minorEastAsia" w:eastAsiaTheme="minorEastAsia" w:cstheme="minorEastAsia"/>
                <w:color w:val="000000"/>
                <w:sz w:val="24"/>
              </w:rPr>
              <w:t>海德鲁能源</w:t>
            </w:r>
          </w:p>
        </w:tc>
        <w:tc>
          <w:tcPr>
            <w:tcW w:w="5206" w:type="dxa"/>
            <w:shd w:val="clear" w:color="auto" w:fill="auto"/>
            <w:vAlign w:val="center"/>
          </w:tcPr>
          <w:p>
            <w:pPr>
              <w:snapToGrid w:val="0"/>
              <w:spacing w:after="0"/>
              <w:rPr>
                <w:rFonts w:hint="eastAsia" w:asciiTheme="minorEastAsia" w:hAnsiTheme="minorEastAsia" w:eastAsiaTheme="minorEastAsia" w:cstheme="minorEastAsia"/>
                <w:color w:val="000000"/>
                <w:sz w:val="24"/>
                <w:lang w:val="en-US"/>
              </w:rPr>
            </w:pPr>
            <w:r>
              <w:rPr>
                <w:rFonts w:hint="eastAsia" w:asciiTheme="minorEastAsia" w:hAnsiTheme="minorEastAsia" w:eastAsiaTheme="minorEastAsia" w:cstheme="minorEastAsia"/>
                <w:color w:val="000000"/>
                <w:sz w:val="24"/>
                <w:lang w:val="en-US"/>
              </w:rPr>
              <w:t>海德鲁能源于1903年4月30日成立于挪威，主要业务是负责在可再生能源、绿色氢气和电池领域为挪威海德鲁公司（“挪威海德鲁”）开发新的商业机会，并支持挪威海德鲁的其他业务领域，其还从事水力发电的生产业务。</w:t>
            </w:r>
          </w:p>
          <w:p>
            <w:pPr>
              <w:snapToGrid w:val="0"/>
              <w:spacing w:after="0"/>
              <w:rPr>
                <w:rFonts w:hint="eastAsia" w:asciiTheme="minorEastAsia" w:hAnsiTheme="minorEastAsia" w:eastAsiaTheme="minorEastAsia" w:cstheme="minorEastAsia"/>
                <w:color w:val="000000"/>
                <w:sz w:val="24"/>
              </w:rPr>
            </w:pPr>
            <w:r>
              <w:rPr>
                <w:rFonts w:hint="eastAsia" w:asciiTheme="minorEastAsia" w:hAnsiTheme="minorEastAsia" w:eastAsiaTheme="minorEastAsia" w:cstheme="minorEastAsia"/>
                <w:color w:val="000000"/>
                <w:sz w:val="24"/>
                <w:lang w:val="en-US"/>
              </w:rPr>
              <w:t>海德鲁能源的最终控制人是挪威海德鲁，为挪威奥斯陆证券交易所上市公司，主要业务为铝产业链各环节的各项相关业务。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52" w:type="dxa"/>
            <w:vMerge w:val="restart"/>
            <w:shd w:val="clear" w:color="auto" w:fill="D9D9D9"/>
            <w:vAlign w:val="center"/>
          </w:tcPr>
          <w:p>
            <w:pPr>
              <w:pStyle w:val="3"/>
              <w:spacing w:after="0"/>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简易案件理由（可以单选，也可以多选）</w:t>
            </w:r>
          </w:p>
        </w:tc>
        <w:tc>
          <w:tcPr>
            <w:tcW w:w="7167" w:type="dxa"/>
            <w:gridSpan w:val="2"/>
            <w:shd w:val="clear" w:color="auto" w:fill="auto"/>
            <w:vAlign w:val="center"/>
          </w:tcPr>
          <w:p>
            <w:pPr>
              <w:snapToGrid w:val="0"/>
              <w:spacing w:after="0"/>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color w:val="FF0000"/>
                <w:sz w:val="24"/>
              </w:rPr>
              <w:t xml:space="preserve"> </w:t>
            </w:r>
            <w:r>
              <w:rPr>
                <w:rFonts w:hint="eastAsia" w:asciiTheme="minorEastAsia" w:hAnsiTheme="minorEastAsia" w:eastAsiaTheme="minorEastAsia" w:cstheme="minorEastAsia"/>
                <w:sz w:val="24"/>
              </w:rPr>
              <w:t>1、在同一相关市场，所有参与集中的经营者所占市场份额之和小于</w:t>
            </w:r>
            <w:r>
              <w:rPr>
                <w:rFonts w:hint="eastAsia" w:asciiTheme="minorEastAsia" w:hAnsiTheme="minorEastAsia" w:eastAsiaTheme="minorEastAsia" w:cstheme="minorEastAsia"/>
                <w:color w:val="000000"/>
                <w:sz w:val="24"/>
              </w:rPr>
              <w:t>15%</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52" w:type="dxa"/>
            <w:vMerge w:val="continue"/>
            <w:shd w:val="clear" w:color="auto" w:fill="D9D9D9"/>
            <w:vAlign w:val="center"/>
          </w:tcPr>
          <w:p>
            <w:pPr>
              <w:pStyle w:val="3"/>
              <w:spacing w:after="0"/>
              <w:rPr>
                <w:rFonts w:hint="eastAsia" w:asciiTheme="minorEastAsia" w:hAnsiTheme="minorEastAsia" w:eastAsiaTheme="minorEastAsia" w:cstheme="minorEastAsia"/>
                <w:sz w:val="24"/>
                <w:lang w:val="en-US"/>
              </w:rPr>
            </w:pPr>
          </w:p>
        </w:tc>
        <w:tc>
          <w:tcPr>
            <w:tcW w:w="7167" w:type="dxa"/>
            <w:gridSpan w:val="2"/>
            <w:shd w:val="clear" w:color="auto" w:fill="auto"/>
            <w:vAlign w:val="center"/>
          </w:tcPr>
          <w:p>
            <w:pPr>
              <w:snapToGrid w:val="0"/>
              <w:spacing w:after="0"/>
              <w:jc w:val="left"/>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 2、存在上下游关系的参与集中的经营者，在上下游市场所占的市场份额均小于</w:t>
            </w:r>
            <w:r>
              <w:rPr>
                <w:rFonts w:hint="eastAsia" w:asciiTheme="minorEastAsia" w:hAnsiTheme="minorEastAsia" w:eastAsiaTheme="minorEastAsia" w:cstheme="minorEastAsia"/>
                <w:color w:val="000000"/>
                <w:sz w:val="24"/>
              </w:rPr>
              <w:t>25%</w:t>
            </w:r>
            <w:r>
              <w:rPr>
                <w:rFonts w:hint="eastAsia" w:asciiTheme="minorEastAsia" w:hAnsiTheme="minorEastAsia" w:eastAsiaTheme="minorEastAsia" w:cstheme="minorEastAsia"/>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52" w:type="dxa"/>
            <w:vMerge w:val="continue"/>
            <w:shd w:val="clear" w:color="auto" w:fill="D9D9D9"/>
            <w:vAlign w:val="center"/>
          </w:tcPr>
          <w:p>
            <w:pPr>
              <w:pStyle w:val="3"/>
              <w:spacing w:after="0"/>
              <w:rPr>
                <w:rFonts w:hint="eastAsia" w:asciiTheme="minorEastAsia" w:hAnsiTheme="minorEastAsia" w:eastAsiaTheme="minorEastAsia" w:cstheme="minorEastAsia"/>
                <w:sz w:val="24"/>
                <w:lang w:val="en-US"/>
              </w:rPr>
            </w:pPr>
          </w:p>
        </w:tc>
        <w:tc>
          <w:tcPr>
            <w:tcW w:w="7167" w:type="dxa"/>
            <w:gridSpan w:val="2"/>
            <w:shd w:val="clear" w:color="auto" w:fill="auto"/>
            <w:vAlign w:val="center"/>
          </w:tcPr>
          <w:p>
            <w:pPr>
              <w:snapToGrid w:val="0"/>
              <w:spacing w:after="0"/>
              <w:jc w:val="left"/>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 3、不在同一相关市场、也不存在上下游关系的参与集中的经营者，在与交易有关的每个市场所占的份额均小于25%。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52" w:type="dxa"/>
            <w:vMerge w:val="continue"/>
            <w:shd w:val="clear" w:color="auto" w:fill="D9D9D9"/>
            <w:vAlign w:val="center"/>
          </w:tcPr>
          <w:p>
            <w:pPr>
              <w:pStyle w:val="3"/>
              <w:spacing w:after="0"/>
              <w:rPr>
                <w:rFonts w:hint="eastAsia" w:asciiTheme="minorEastAsia" w:hAnsiTheme="minorEastAsia" w:eastAsiaTheme="minorEastAsia" w:cstheme="minorEastAsia"/>
                <w:sz w:val="24"/>
                <w:lang w:val="en-US"/>
              </w:rPr>
            </w:pPr>
          </w:p>
        </w:tc>
        <w:tc>
          <w:tcPr>
            <w:tcW w:w="7167" w:type="dxa"/>
            <w:gridSpan w:val="2"/>
            <w:shd w:val="clear" w:color="auto" w:fill="auto"/>
            <w:vAlign w:val="center"/>
          </w:tcPr>
          <w:p>
            <w:pPr>
              <w:snapToGrid w:val="0"/>
              <w:spacing w:after="0"/>
              <w:jc w:val="left"/>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t>□ 4、参与集中的经营者在中国境外设立合营企业，合营企业不在中国境内从事经济活动。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52" w:type="dxa"/>
            <w:vMerge w:val="continue"/>
            <w:shd w:val="clear" w:color="auto" w:fill="D9D9D9"/>
            <w:vAlign w:val="center"/>
          </w:tcPr>
          <w:p>
            <w:pPr>
              <w:pStyle w:val="3"/>
              <w:spacing w:after="0"/>
              <w:rPr>
                <w:rFonts w:hint="eastAsia" w:asciiTheme="minorEastAsia" w:hAnsiTheme="minorEastAsia" w:eastAsiaTheme="minorEastAsia" w:cstheme="minorEastAsia"/>
                <w:sz w:val="24"/>
                <w:lang w:val="en-US"/>
              </w:rPr>
            </w:pPr>
          </w:p>
        </w:tc>
        <w:tc>
          <w:tcPr>
            <w:tcW w:w="7167" w:type="dxa"/>
            <w:gridSpan w:val="2"/>
            <w:shd w:val="clear" w:color="auto" w:fill="auto"/>
            <w:vAlign w:val="center"/>
          </w:tcPr>
          <w:p>
            <w:pPr>
              <w:snapToGrid w:val="0"/>
              <w:spacing w:after="0"/>
              <w:jc w:val="left"/>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rPr>
              <w:sym w:font="Wingdings" w:char="F0FE"/>
            </w:r>
            <w:r>
              <w:rPr>
                <w:rFonts w:hint="eastAsia" w:asciiTheme="minorEastAsia" w:hAnsiTheme="minorEastAsia" w:eastAsiaTheme="minorEastAsia" w:cstheme="minorEastAsia"/>
                <w:sz w:val="24"/>
              </w:rPr>
              <w:t xml:space="preserve"> 5、参与集中的经营者收购境外企业股权或资产的，该境外企业不在中国境内从事经济活动。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jc w:val="center"/>
        </w:trPr>
        <w:tc>
          <w:tcPr>
            <w:tcW w:w="1752" w:type="dxa"/>
            <w:vMerge w:val="continue"/>
            <w:shd w:val="clear" w:color="auto" w:fill="D9D9D9"/>
            <w:vAlign w:val="center"/>
          </w:tcPr>
          <w:p>
            <w:pPr>
              <w:pStyle w:val="3"/>
              <w:spacing w:after="0"/>
              <w:rPr>
                <w:rFonts w:hint="eastAsia" w:asciiTheme="minorEastAsia" w:hAnsiTheme="minorEastAsia" w:eastAsiaTheme="minorEastAsia" w:cstheme="minorEastAsia"/>
                <w:sz w:val="24"/>
                <w:lang w:val="en-US"/>
              </w:rPr>
            </w:pPr>
          </w:p>
        </w:tc>
        <w:tc>
          <w:tcPr>
            <w:tcW w:w="7167" w:type="dxa"/>
            <w:gridSpan w:val="2"/>
            <w:shd w:val="clear" w:color="auto" w:fill="auto"/>
            <w:vAlign w:val="center"/>
          </w:tcPr>
          <w:p>
            <w:pPr>
              <w:snapToGrid w:val="0"/>
              <w:spacing w:after="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6、由两个以上的经营者共同控制的合营企业，通过集中被其中一个或一个以上经营者控制。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jc w:val="center"/>
        </w:trPr>
        <w:tc>
          <w:tcPr>
            <w:tcW w:w="1752" w:type="dxa"/>
            <w:shd w:val="clear" w:color="auto" w:fill="D9D9D9"/>
            <w:vAlign w:val="center"/>
          </w:tcPr>
          <w:p>
            <w:pPr>
              <w:pStyle w:val="3"/>
              <w:spacing w:after="0"/>
              <w:rPr>
                <w:rFonts w:hint="eastAsia" w:asciiTheme="minorEastAsia" w:hAnsiTheme="minorEastAsia" w:eastAsiaTheme="minorEastAsia" w:cstheme="minorEastAsia"/>
                <w:sz w:val="24"/>
                <w:lang w:val="en-US"/>
              </w:rPr>
            </w:pPr>
            <w:r>
              <w:rPr>
                <w:rFonts w:hint="eastAsia" w:asciiTheme="minorEastAsia" w:hAnsiTheme="minorEastAsia" w:eastAsiaTheme="minorEastAsia" w:cstheme="minorEastAsia"/>
                <w:sz w:val="24"/>
                <w:lang w:val="en-US"/>
              </w:rPr>
              <w:t>备注</w:t>
            </w:r>
          </w:p>
        </w:tc>
        <w:tc>
          <w:tcPr>
            <w:tcW w:w="7167" w:type="dxa"/>
            <w:gridSpan w:val="2"/>
            <w:shd w:val="clear" w:color="auto" w:fill="auto"/>
            <w:vAlign w:val="center"/>
          </w:tcPr>
          <w:p>
            <w:pPr>
              <w:snapToGrid w:val="0"/>
              <w:spacing w:after="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不适用</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4C7506"/>
    <w:rsid w:val="594C7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spacing w:after="156" w:afterLines="50" w:line="640" w:lineRule="exact"/>
      <w:outlineLvl w:val="0"/>
    </w:pPr>
    <w:rPr>
      <w:rFonts w:ascii="方正小标宋简体" w:eastAsia="方正小标宋简体"/>
      <w:sz w:val="44"/>
      <w:szCs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Body Text"/>
    <w:basedOn w:val="1"/>
    <w:unhideWhenUsed/>
    <w:qFormat/>
    <w:uiPriority w:val="99"/>
    <w:pPr>
      <w:spacing w:after="12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省市场监督管理局</Company>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2024-04-22T02:10:00Z</dcterms:created>
  <dc:creator>胡翌婧</dc:creator>
  <cp:lastModifiedBy>胡翌婧</cp:lastModifiedBy>
  <dcterms:modified xsi:type="dcterms:W3CDTF">2024-04-22T02:10:45Z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AB8EE8B0FA8646C9969FBBF10BDAF8AF</vt:lpwstr>
  </property>
</Properties>
</file>