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黑体" w:hAnsi="黑体" w:eastAsia="黑体"/>
          <w:b/>
          <w:sz w:val="36"/>
          <w:szCs w:val="36"/>
        </w:rPr>
      </w:pPr>
      <w:r>
        <w:rPr>
          <w:rFonts w:ascii="黑体" w:hAnsi="黑体" w:eastAsia="黑体"/>
          <w:b/>
          <w:sz w:val="36"/>
          <w:szCs w:val="36"/>
        </w:rPr>
        <w:t>经营者集中简易案件公示表</w:t>
      </w:r>
    </w:p>
    <w:p>
      <w:pPr>
        <w:spacing w:line="440" w:lineRule="exact"/>
        <w:jc w:val="center"/>
        <w:rPr>
          <w:rFonts w:ascii="Times New Roman" w:hAnsi="Times New Roman"/>
          <w:sz w:val="28"/>
          <w:szCs w:val="28"/>
        </w:rPr>
      </w:pPr>
    </w:p>
    <w:tbl>
      <w:tblPr>
        <w:tblStyle w:val="9"/>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984"/>
        <w:gridCol w:w="4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D9D9D9"/>
          </w:tcPr>
          <w:p>
            <w:pPr>
              <w:snapToGrid w:val="0"/>
              <w:contextualSpacing/>
              <w:jc w:val="left"/>
              <w:rPr>
                <w:rFonts w:ascii="宋体" w:hAnsi="宋体"/>
                <w:sz w:val="24"/>
                <w:szCs w:val="24"/>
              </w:rPr>
            </w:pPr>
            <w:r>
              <w:rPr>
                <w:rFonts w:ascii="宋体" w:hAnsi="宋体"/>
                <w:color w:val="333333"/>
                <w:kern w:val="0"/>
                <w:sz w:val="24"/>
                <w:szCs w:val="24"/>
              </w:rPr>
              <w:t>案件名称</w:t>
            </w:r>
          </w:p>
        </w:tc>
        <w:tc>
          <w:tcPr>
            <w:tcW w:w="6778" w:type="dxa"/>
            <w:gridSpan w:val="2"/>
          </w:tcPr>
          <w:p>
            <w:pPr>
              <w:snapToGrid w:val="0"/>
              <w:contextualSpacing/>
              <w:rPr>
                <w:rFonts w:ascii="宋体" w:hAnsi="宋体"/>
                <w:sz w:val="24"/>
                <w:szCs w:val="24"/>
              </w:rPr>
            </w:pPr>
            <w:r>
              <w:rPr>
                <w:rFonts w:hint="eastAsia" w:ascii="宋体" w:hAnsi="宋体"/>
                <w:sz w:val="24"/>
                <w:szCs w:val="24"/>
              </w:rPr>
              <w:t>加拿大养老金计划投资委员会与爱尔兰供电局收购格温特格拉斯海上风电场有限公司股权案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980" w:type="dxa"/>
            <w:shd w:val="clear" w:color="auto" w:fill="D9D9D9"/>
          </w:tcPr>
          <w:p>
            <w:pPr>
              <w:contextualSpacing/>
              <w:jc w:val="left"/>
              <w:rPr>
                <w:rFonts w:ascii="宋体" w:hAnsi="宋体"/>
                <w:color w:val="333333"/>
                <w:kern w:val="0"/>
                <w:sz w:val="24"/>
                <w:szCs w:val="24"/>
              </w:rPr>
            </w:pPr>
            <w:r>
              <w:rPr>
                <w:rFonts w:ascii="宋体" w:hAnsi="宋体"/>
                <w:color w:val="333333"/>
                <w:kern w:val="0"/>
                <w:sz w:val="24"/>
                <w:szCs w:val="24"/>
              </w:rPr>
              <w:t>交易概况</w:t>
            </w:r>
          </w:p>
          <w:p>
            <w:pPr>
              <w:snapToGrid w:val="0"/>
              <w:contextualSpacing/>
              <w:jc w:val="left"/>
              <w:rPr>
                <w:rFonts w:ascii="宋体" w:hAnsi="宋体"/>
                <w:sz w:val="24"/>
                <w:szCs w:val="24"/>
              </w:rPr>
            </w:pPr>
            <w:r>
              <w:rPr>
                <w:rFonts w:ascii="宋体" w:hAnsi="宋体"/>
                <w:color w:val="333333"/>
                <w:kern w:val="0"/>
                <w:sz w:val="24"/>
                <w:szCs w:val="24"/>
              </w:rPr>
              <w:t>（限200字内）</w:t>
            </w:r>
          </w:p>
        </w:tc>
        <w:tc>
          <w:tcPr>
            <w:tcW w:w="6778" w:type="dxa"/>
            <w:gridSpan w:val="2"/>
          </w:tcPr>
          <w:p>
            <w:pPr>
              <w:snapToGrid w:val="0"/>
              <w:contextualSpacing/>
              <w:rPr>
                <w:rFonts w:ascii="宋体" w:hAnsi="宋体"/>
                <w:sz w:val="24"/>
                <w:szCs w:val="24"/>
                <w:lang w:val="en-GB"/>
              </w:rPr>
            </w:pPr>
            <w:r>
              <w:rPr>
                <w:rFonts w:hint="eastAsia" w:ascii="宋体" w:hAnsi="宋体"/>
                <w:sz w:val="24"/>
                <w:szCs w:val="24"/>
                <w:lang w:val="en-GB"/>
              </w:rPr>
              <w:t>本交易为</w:t>
            </w:r>
            <w:r>
              <w:rPr>
                <w:rFonts w:hint="eastAsia" w:ascii="宋体" w:hAnsi="宋体"/>
                <w:sz w:val="24"/>
                <w:szCs w:val="24"/>
              </w:rPr>
              <w:t>爱尔兰供电局</w:t>
            </w:r>
            <w:r>
              <w:rPr>
                <w:rFonts w:hint="eastAsia" w:ascii="宋体" w:hAnsi="宋体"/>
                <w:sz w:val="24"/>
                <w:szCs w:val="24"/>
                <w:lang w:val="en-GB"/>
              </w:rPr>
              <w:t>（</w:t>
            </w:r>
            <w:r>
              <w:rPr>
                <w:rFonts w:hint="eastAsia" w:ascii="宋体" w:hAnsi="宋体"/>
                <w:sz w:val="24"/>
                <w:szCs w:val="24"/>
              </w:rPr>
              <w:t>通过其直接全资子公司</w:t>
            </w:r>
            <w:r>
              <w:rPr>
                <w:rFonts w:ascii="宋体" w:hAnsi="宋体"/>
                <w:sz w:val="24"/>
                <w:szCs w:val="24"/>
              </w:rPr>
              <w:t>Gwynt Glas (ESB) Holding Company Ltd</w:t>
            </w:r>
            <w:r>
              <w:rPr>
                <w:rFonts w:hint="eastAsia" w:ascii="宋体" w:hAnsi="宋体"/>
                <w:sz w:val="24"/>
                <w:szCs w:val="24"/>
                <w:lang w:val="en-GB"/>
              </w:rPr>
              <w:t>）和</w:t>
            </w:r>
            <w:r>
              <w:rPr>
                <w:rFonts w:hint="eastAsia" w:ascii="宋体" w:hAnsi="宋体"/>
                <w:sz w:val="24"/>
                <w:szCs w:val="24"/>
              </w:rPr>
              <w:t>加拿大养老金计划投资委员会</w:t>
            </w:r>
            <w:r>
              <w:rPr>
                <w:rFonts w:hint="eastAsia" w:ascii="宋体" w:hAnsi="宋体"/>
                <w:sz w:val="24"/>
                <w:szCs w:val="24"/>
                <w:lang w:val="en-GB"/>
              </w:rPr>
              <w:t xml:space="preserve"> (“CPPIB”，</w:t>
            </w:r>
            <w:bookmarkStart w:id="0" w:name="_GoBack"/>
            <w:bookmarkEnd w:id="0"/>
            <w:r>
              <w:rPr>
                <w:rFonts w:hint="eastAsia" w:ascii="宋体" w:hAnsi="宋体"/>
                <w:sz w:val="24"/>
                <w:szCs w:val="24"/>
              </w:rPr>
              <w:t>通过其间接全资子公司</w:t>
            </w:r>
            <w:r>
              <w:rPr>
                <w:rFonts w:ascii="宋体" w:hAnsi="宋体"/>
                <w:sz w:val="24"/>
                <w:szCs w:val="24"/>
              </w:rPr>
              <w:t>RPGG Celtic Sea HoldCo Limited</w:t>
            </w:r>
            <w:r>
              <w:rPr>
                <w:rFonts w:hint="eastAsia" w:ascii="宋体" w:hAnsi="宋体"/>
                <w:sz w:val="24"/>
                <w:szCs w:val="24"/>
                <w:lang w:val="en-GB"/>
              </w:rPr>
              <w:t>）向</w:t>
            </w:r>
            <w:r>
              <w:rPr>
                <w:rFonts w:hint="eastAsia" w:ascii="宋体" w:hAnsi="宋体"/>
                <w:sz w:val="24"/>
                <w:szCs w:val="24"/>
              </w:rPr>
              <w:t>EDF Energy Renewables Limited（法国电力集团的全资子公司）</w:t>
            </w:r>
            <w:r>
              <w:rPr>
                <w:rFonts w:hint="eastAsia" w:ascii="宋体" w:hAnsi="宋体"/>
                <w:sz w:val="24"/>
                <w:szCs w:val="24"/>
                <w:lang w:val="en-GB"/>
              </w:rPr>
              <w:t>收购</w:t>
            </w:r>
            <w:r>
              <w:rPr>
                <w:rFonts w:hint="eastAsia" w:ascii="宋体" w:hAnsi="宋体"/>
                <w:sz w:val="24"/>
                <w:szCs w:val="24"/>
              </w:rPr>
              <w:t>格温特格拉斯海上风电场有限公司（“格温特”）股权</w:t>
            </w:r>
            <w:r>
              <w:rPr>
                <w:rFonts w:hint="eastAsia" w:ascii="宋体" w:hAnsi="宋体"/>
                <w:sz w:val="24"/>
                <w:szCs w:val="24"/>
                <w:lang w:val="en-GB"/>
              </w:rPr>
              <w:t>。格温特在大西洋凯尔特海域开展漂浮式海上风力发电业务。</w:t>
            </w:r>
          </w:p>
          <w:p>
            <w:pPr>
              <w:snapToGrid w:val="0"/>
              <w:contextualSpacing/>
              <w:rPr>
                <w:rFonts w:ascii="宋体" w:hAnsi="宋体"/>
                <w:sz w:val="24"/>
                <w:szCs w:val="24"/>
              </w:rPr>
            </w:pPr>
            <w:r>
              <w:rPr>
                <w:rFonts w:hint="eastAsia" w:ascii="宋体" w:hAnsi="宋体"/>
                <w:sz w:val="24"/>
                <w:szCs w:val="24"/>
                <w:lang w:val="en-GB"/>
              </w:rPr>
              <w:t>交易前，</w:t>
            </w:r>
            <w:r>
              <w:rPr>
                <w:rFonts w:hint="eastAsia" w:ascii="宋体" w:hAnsi="宋体"/>
                <w:sz w:val="24"/>
                <w:szCs w:val="24"/>
              </w:rPr>
              <w:t>格温特</w:t>
            </w:r>
            <w:r>
              <w:rPr>
                <w:rFonts w:hint="eastAsia" w:ascii="宋体" w:hAnsi="宋体"/>
                <w:sz w:val="24"/>
                <w:szCs w:val="24"/>
                <w:lang w:val="en-GB"/>
              </w:rPr>
              <w:t>由</w:t>
            </w:r>
            <w:r>
              <w:rPr>
                <w:rFonts w:hint="eastAsia" w:ascii="宋体" w:hAnsi="宋体"/>
                <w:sz w:val="24"/>
                <w:szCs w:val="24"/>
              </w:rPr>
              <w:t>法国电力集团</w:t>
            </w:r>
            <w:r>
              <w:rPr>
                <w:rFonts w:hint="eastAsia" w:ascii="宋体" w:hAnsi="宋体"/>
                <w:sz w:val="24"/>
                <w:szCs w:val="24"/>
                <w:lang w:val="en-GB"/>
              </w:rPr>
              <w:t>全资所有并单独控制。交易后，</w:t>
            </w:r>
            <w:r>
              <w:rPr>
                <w:rFonts w:hint="eastAsia" w:ascii="宋体" w:hAnsi="宋体"/>
                <w:sz w:val="24"/>
                <w:szCs w:val="24"/>
              </w:rPr>
              <w:t>法国电力集团、爱尔兰供电局和</w:t>
            </w:r>
            <w:r>
              <w:rPr>
                <w:rFonts w:ascii="宋体" w:hAnsi="宋体"/>
                <w:sz w:val="24"/>
                <w:szCs w:val="24"/>
              </w:rPr>
              <w:t>CPPIB</w:t>
            </w:r>
            <w:r>
              <w:rPr>
                <w:rFonts w:hint="eastAsia" w:ascii="宋体" w:hAnsi="宋体"/>
                <w:sz w:val="24"/>
                <w:szCs w:val="24"/>
              </w:rPr>
              <w:t>将各自持有格温特33</w:t>
            </w:r>
            <w:r>
              <w:rPr>
                <w:rFonts w:ascii="宋体" w:hAnsi="宋体"/>
                <w:sz w:val="24"/>
                <w:szCs w:val="24"/>
              </w:rPr>
              <w:t>.33</w:t>
            </w:r>
            <w:r>
              <w:rPr>
                <w:rFonts w:hint="eastAsia" w:ascii="宋体" w:hAnsi="宋体"/>
                <w:sz w:val="24"/>
                <w:szCs w:val="24"/>
              </w:rPr>
              <w:t>%、33</w:t>
            </w:r>
            <w:r>
              <w:rPr>
                <w:rFonts w:ascii="宋体" w:hAnsi="宋体"/>
                <w:sz w:val="24"/>
                <w:szCs w:val="24"/>
              </w:rPr>
              <w:t>.33</w:t>
            </w:r>
            <w:r>
              <w:rPr>
                <w:rFonts w:hint="eastAsia" w:ascii="宋体" w:hAnsi="宋体"/>
                <w:sz w:val="24"/>
                <w:szCs w:val="24"/>
              </w:rPr>
              <w:t>%和33</w:t>
            </w:r>
            <w:r>
              <w:rPr>
                <w:rFonts w:ascii="宋体" w:hAnsi="宋体"/>
                <w:sz w:val="24"/>
                <w:szCs w:val="24"/>
              </w:rPr>
              <w:t>.33</w:t>
            </w:r>
            <w:r>
              <w:rPr>
                <w:rFonts w:hint="eastAsia" w:ascii="宋体" w:hAnsi="宋体"/>
                <w:sz w:val="24"/>
                <w:szCs w:val="24"/>
              </w:rPr>
              <w:t>%的股份，并共同控制格温特。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80" w:type="dxa"/>
            <w:vMerge w:val="restart"/>
            <w:tcBorders>
              <w:top w:val="single" w:color="auto" w:sz="4" w:space="0"/>
              <w:left w:val="single" w:color="auto" w:sz="4" w:space="0"/>
              <w:right w:val="single" w:color="auto" w:sz="4" w:space="0"/>
            </w:tcBorders>
            <w:shd w:val="clear" w:color="auto" w:fill="D9D9D9"/>
            <w:vAlign w:val="center"/>
          </w:tcPr>
          <w:p>
            <w:pPr>
              <w:contextualSpacing/>
              <w:jc w:val="left"/>
              <w:rPr>
                <w:rFonts w:ascii="宋体" w:hAnsi="宋体"/>
                <w:color w:val="333333"/>
                <w:kern w:val="0"/>
                <w:sz w:val="24"/>
                <w:szCs w:val="24"/>
              </w:rPr>
            </w:pPr>
            <w:r>
              <w:rPr>
                <w:rFonts w:ascii="宋体" w:hAnsi="宋体"/>
                <w:color w:val="333333"/>
                <w:kern w:val="0"/>
                <w:sz w:val="24"/>
                <w:szCs w:val="24"/>
              </w:rPr>
              <w:t>参与集中的</w:t>
            </w:r>
          </w:p>
          <w:p>
            <w:pPr>
              <w:snapToGrid w:val="0"/>
              <w:contextualSpacing/>
              <w:jc w:val="left"/>
              <w:rPr>
                <w:rFonts w:ascii="宋体" w:hAnsi="宋体"/>
                <w:sz w:val="24"/>
                <w:szCs w:val="24"/>
              </w:rPr>
            </w:pPr>
            <w:r>
              <w:rPr>
                <w:rFonts w:ascii="宋体" w:hAnsi="宋体"/>
                <w:color w:val="333333"/>
                <w:kern w:val="0"/>
                <w:sz w:val="24"/>
                <w:szCs w:val="24"/>
              </w:rPr>
              <w:t>经营者简介</w:t>
            </w:r>
          </w:p>
        </w:tc>
        <w:tc>
          <w:tcPr>
            <w:tcW w:w="1984" w:type="dxa"/>
          </w:tcPr>
          <w:p>
            <w:pPr>
              <w:widowControl/>
              <w:snapToGrid w:val="0"/>
              <w:contextualSpacing/>
              <w:jc w:val="left"/>
              <w:rPr>
                <w:rFonts w:ascii="宋体" w:hAnsi="宋体"/>
                <w:sz w:val="24"/>
                <w:szCs w:val="24"/>
              </w:rPr>
            </w:pPr>
            <w:r>
              <w:rPr>
                <w:rFonts w:ascii="宋体" w:hAnsi="宋体"/>
                <w:sz w:val="24"/>
                <w:szCs w:val="24"/>
              </w:rPr>
              <w:t>1.</w:t>
            </w:r>
            <w:r>
              <w:rPr>
                <w:rFonts w:hint="eastAsia" w:ascii="宋体" w:hAnsi="宋体"/>
                <w:sz w:val="24"/>
                <w:szCs w:val="24"/>
                <w:lang w:val="en-GB"/>
              </w:rPr>
              <w:t xml:space="preserve"> </w:t>
            </w:r>
            <w:r>
              <w:rPr>
                <w:rFonts w:hint="eastAsia" w:ascii="宋体" w:hAnsi="宋体"/>
                <w:sz w:val="24"/>
                <w:szCs w:val="24"/>
              </w:rPr>
              <w:t>CPPIB</w:t>
            </w:r>
          </w:p>
          <w:p>
            <w:pPr>
              <w:widowControl/>
              <w:snapToGrid w:val="0"/>
              <w:contextualSpacing/>
              <w:jc w:val="left"/>
              <w:rPr>
                <w:rFonts w:ascii="宋体" w:hAnsi="宋体"/>
                <w:sz w:val="24"/>
                <w:szCs w:val="24"/>
              </w:rPr>
            </w:pPr>
          </w:p>
        </w:tc>
        <w:tc>
          <w:tcPr>
            <w:tcW w:w="4794" w:type="dxa"/>
          </w:tcPr>
          <w:p>
            <w:pPr>
              <w:snapToGrid w:val="0"/>
              <w:contextualSpacing/>
              <w:jc w:val="left"/>
              <w:rPr>
                <w:rFonts w:ascii="宋体" w:hAnsi="宋体"/>
                <w:sz w:val="24"/>
                <w:szCs w:val="24"/>
              </w:rPr>
            </w:pPr>
            <w:r>
              <w:rPr>
                <w:rFonts w:ascii="宋体" w:hAnsi="宋体"/>
                <w:sz w:val="24"/>
                <w:szCs w:val="24"/>
              </w:rPr>
              <w:t>CPPIB</w:t>
            </w:r>
            <w:r>
              <w:rPr>
                <w:rFonts w:hint="eastAsia" w:ascii="宋体" w:hAnsi="宋体"/>
                <w:sz w:val="24"/>
                <w:szCs w:val="24"/>
              </w:rPr>
              <w:t>于</w:t>
            </w:r>
            <w:r>
              <w:rPr>
                <w:rFonts w:ascii="宋体" w:hAnsi="宋体"/>
                <w:sz w:val="24"/>
                <w:szCs w:val="24"/>
              </w:rPr>
              <w:t>1997</w:t>
            </w:r>
            <w:r>
              <w:rPr>
                <w:rFonts w:hint="eastAsia" w:ascii="宋体" w:hAnsi="宋体"/>
                <w:sz w:val="24"/>
                <w:szCs w:val="24"/>
              </w:rPr>
              <w:t>年</w:t>
            </w:r>
            <w:r>
              <w:rPr>
                <w:rFonts w:ascii="宋体" w:hAnsi="宋体"/>
                <w:sz w:val="24"/>
                <w:szCs w:val="24"/>
              </w:rPr>
              <w:t>12</w:t>
            </w:r>
            <w:r>
              <w:rPr>
                <w:rFonts w:hint="eastAsia" w:ascii="宋体" w:hAnsi="宋体"/>
                <w:sz w:val="24"/>
                <w:szCs w:val="24"/>
              </w:rPr>
              <w:t>月1</w:t>
            </w:r>
            <w:r>
              <w:rPr>
                <w:rFonts w:ascii="宋体" w:hAnsi="宋体"/>
                <w:sz w:val="24"/>
                <w:szCs w:val="24"/>
              </w:rPr>
              <w:t>8</w:t>
            </w:r>
            <w:r>
              <w:rPr>
                <w:rFonts w:hint="eastAsia" w:ascii="宋体" w:hAnsi="宋体"/>
                <w:sz w:val="24"/>
                <w:szCs w:val="24"/>
              </w:rPr>
              <w:t>日成立于加拿大。</w:t>
            </w:r>
            <w:r>
              <w:rPr>
                <w:rFonts w:ascii="宋体" w:hAnsi="宋体"/>
                <w:sz w:val="24"/>
                <w:szCs w:val="24"/>
              </w:rPr>
              <w:t>CPPIB</w:t>
            </w:r>
            <w:r>
              <w:rPr>
                <w:rFonts w:hint="eastAsia" w:ascii="宋体" w:hAnsi="宋体"/>
                <w:sz w:val="24"/>
                <w:szCs w:val="24"/>
              </w:rPr>
              <w:t>是一家专业投资管理机构，投资于公共股权、私募股权、不动产、基础设施和固定收益证券领域。</w:t>
            </w:r>
          </w:p>
          <w:p>
            <w:pPr>
              <w:snapToGrid w:val="0"/>
              <w:contextualSpacing/>
              <w:jc w:val="left"/>
              <w:rPr>
                <w:rFonts w:ascii="宋体" w:hAnsi="宋体"/>
                <w:sz w:val="24"/>
                <w:szCs w:val="24"/>
              </w:rPr>
            </w:pPr>
            <w:r>
              <w:rPr>
                <w:rFonts w:ascii="宋体" w:hAnsi="宋体"/>
                <w:sz w:val="24"/>
                <w:szCs w:val="24"/>
              </w:rPr>
              <w:t>CPPIB</w:t>
            </w:r>
            <w:r>
              <w:rPr>
                <w:rFonts w:hint="eastAsia" w:ascii="宋体" w:hAnsi="宋体"/>
                <w:sz w:val="24"/>
                <w:szCs w:val="24"/>
                <w:lang w:val="en-GB"/>
              </w:rPr>
              <w:t>无最终控制人。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980" w:type="dxa"/>
            <w:vMerge w:val="continue"/>
            <w:tcBorders>
              <w:left w:val="single" w:color="auto" w:sz="4" w:space="0"/>
              <w:right w:val="single" w:color="auto" w:sz="4" w:space="0"/>
            </w:tcBorders>
            <w:shd w:val="clear" w:color="auto" w:fill="D9D9D9"/>
          </w:tcPr>
          <w:p>
            <w:pPr>
              <w:snapToGrid w:val="0"/>
              <w:contextualSpacing/>
              <w:jc w:val="left"/>
              <w:rPr>
                <w:rFonts w:ascii="宋体" w:hAnsi="宋体"/>
                <w:sz w:val="24"/>
                <w:szCs w:val="24"/>
              </w:rPr>
            </w:pPr>
          </w:p>
        </w:tc>
        <w:tc>
          <w:tcPr>
            <w:tcW w:w="1984" w:type="dxa"/>
            <w:tcBorders>
              <w:left w:val="single" w:color="auto" w:sz="4" w:space="0"/>
            </w:tcBorders>
          </w:tcPr>
          <w:p>
            <w:pPr>
              <w:snapToGrid w:val="0"/>
              <w:contextualSpacing/>
              <w:jc w:val="left"/>
              <w:rPr>
                <w:rFonts w:ascii="宋体" w:hAnsi="宋体"/>
                <w:sz w:val="24"/>
                <w:szCs w:val="24"/>
              </w:rPr>
            </w:pPr>
            <w:r>
              <w:rPr>
                <w:rFonts w:ascii="宋体" w:hAnsi="宋体"/>
                <w:sz w:val="24"/>
                <w:szCs w:val="24"/>
              </w:rPr>
              <w:t xml:space="preserve">2. </w:t>
            </w:r>
            <w:r>
              <w:rPr>
                <w:rFonts w:hint="eastAsia" w:ascii="宋体" w:hAnsi="宋体"/>
                <w:sz w:val="24"/>
                <w:szCs w:val="24"/>
              </w:rPr>
              <w:t>爱尔兰供电局</w:t>
            </w:r>
          </w:p>
        </w:tc>
        <w:tc>
          <w:tcPr>
            <w:tcW w:w="4794" w:type="dxa"/>
          </w:tcPr>
          <w:p>
            <w:pPr>
              <w:snapToGrid w:val="0"/>
              <w:contextualSpacing/>
              <w:rPr>
                <w:rFonts w:ascii="宋体" w:hAnsi="宋体"/>
                <w:sz w:val="24"/>
                <w:szCs w:val="24"/>
              </w:rPr>
            </w:pPr>
            <w:r>
              <w:rPr>
                <w:rFonts w:hint="eastAsia" w:ascii="宋体" w:hAnsi="宋体"/>
                <w:sz w:val="24"/>
                <w:szCs w:val="24"/>
              </w:rPr>
              <w:t>爱尔兰供电局于1927年成立于爱尔兰，从事电力相关业务，包括发电、输电、配电和电力零售。</w:t>
            </w:r>
          </w:p>
          <w:p>
            <w:pPr>
              <w:snapToGrid w:val="0"/>
              <w:contextualSpacing/>
              <w:jc w:val="left"/>
              <w:rPr>
                <w:rFonts w:ascii="宋体" w:hAnsi="宋体"/>
                <w:color w:val="0000FF"/>
                <w:sz w:val="24"/>
                <w:szCs w:val="24"/>
                <w:u w:val="single"/>
              </w:rPr>
            </w:pPr>
            <w:r>
              <w:rPr>
                <w:rFonts w:hint="eastAsia" w:ascii="宋体" w:hAnsi="宋体"/>
                <w:sz w:val="24"/>
                <w:szCs w:val="24"/>
              </w:rPr>
              <w:t>爱尔兰供电局无最终控制人。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980" w:type="dxa"/>
            <w:vMerge w:val="continue"/>
            <w:tcBorders>
              <w:left w:val="single" w:color="auto" w:sz="4" w:space="0"/>
              <w:right w:val="single" w:color="auto" w:sz="4" w:space="0"/>
            </w:tcBorders>
            <w:shd w:val="clear" w:color="auto" w:fill="D9D9D9"/>
          </w:tcPr>
          <w:p>
            <w:pPr>
              <w:snapToGrid w:val="0"/>
              <w:contextualSpacing/>
              <w:jc w:val="left"/>
              <w:rPr>
                <w:rFonts w:ascii="宋体" w:hAnsi="宋体"/>
                <w:sz w:val="24"/>
                <w:szCs w:val="24"/>
              </w:rPr>
            </w:pPr>
          </w:p>
        </w:tc>
        <w:tc>
          <w:tcPr>
            <w:tcW w:w="1984" w:type="dxa"/>
            <w:tcBorders>
              <w:left w:val="single" w:color="auto" w:sz="4" w:space="0"/>
            </w:tcBorders>
          </w:tcPr>
          <w:p>
            <w:pPr>
              <w:snapToGrid w:val="0"/>
              <w:contextualSpacing/>
              <w:jc w:val="left"/>
              <w:rPr>
                <w:rFonts w:ascii="宋体" w:hAnsi="宋体"/>
                <w:sz w:val="24"/>
                <w:szCs w:val="24"/>
              </w:rPr>
            </w:pPr>
            <w:r>
              <w:rPr>
                <w:rFonts w:ascii="宋体" w:hAnsi="宋体"/>
                <w:sz w:val="24"/>
                <w:szCs w:val="24"/>
              </w:rPr>
              <w:t xml:space="preserve">3. </w:t>
            </w:r>
            <w:r>
              <w:rPr>
                <w:rFonts w:hint="eastAsia" w:ascii="宋体" w:hAnsi="宋体"/>
                <w:sz w:val="24"/>
                <w:szCs w:val="24"/>
              </w:rPr>
              <w:t>法国电力集团</w:t>
            </w:r>
          </w:p>
        </w:tc>
        <w:tc>
          <w:tcPr>
            <w:tcW w:w="4794" w:type="dxa"/>
          </w:tcPr>
          <w:p>
            <w:pPr>
              <w:snapToGrid w:val="0"/>
              <w:contextualSpacing/>
              <w:jc w:val="left"/>
              <w:rPr>
                <w:rFonts w:ascii="Times New Roman" w:hAnsi="Times New Roman"/>
                <w:sz w:val="24"/>
                <w:szCs w:val="24"/>
              </w:rPr>
            </w:pPr>
            <w:r>
              <w:rPr>
                <w:rFonts w:hint="eastAsia" w:ascii="宋体" w:hAnsi="宋体"/>
                <w:sz w:val="24"/>
                <w:szCs w:val="24"/>
                <w:lang w:val="en-GB"/>
              </w:rPr>
              <w:t>法</w:t>
            </w:r>
            <w:r>
              <w:rPr>
                <w:rFonts w:hint="eastAsia" w:ascii="宋体" w:hAnsi="宋体"/>
                <w:sz w:val="24"/>
                <w:szCs w:val="24"/>
              </w:rPr>
              <w:t>国电力</w:t>
            </w:r>
            <w:r>
              <w:rPr>
                <w:rFonts w:hint="eastAsia" w:ascii="宋体" w:hAnsi="宋体"/>
                <w:sz w:val="24"/>
                <w:szCs w:val="24"/>
                <w:lang w:val="en-GB"/>
              </w:rPr>
              <w:t>集团</w:t>
            </w:r>
            <w:r>
              <w:rPr>
                <w:rFonts w:hint="eastAsia" w:ascii="宋体" w:hAnsi="宋体"/>
                <w:sz w:val="24"/>
                <w:szCs w:val="24"/>
              </w:rPr>
              <w:t>于</w:t>
            </w:r>
            <w:r>
              <w:rPr>
                <w:rFonts w:ascii="宋体" w:hAnsi="宋体"/>
                <w:sz w:val="24"/>
                <w:szCs w:val="24"/>
              </w:rPr>
              <w:t>1946</w:t>
            </w:r>
            <w:r>
              <w:rPr>
                <w:rFonts w:hint="eastAsia" w:ascii="宋体" w:hAnsi="宋体"/>
                <w:sz w:val="24"/>
                <w:szCs w:val="24"/>
              </w:rPr>
              <w:t>年</w:t>
            </w:r>
            <w:r>
              <w:rPr>
                <w:rFonts w:ascii="宋体" w:hAnsi="宋体"/>
                <w:sz w:val="24"/>
                <w:szCs w:val="24"/>
              </w:rPr>
              <w:t>4</w:t>
            </w:r>
            <w:r>
              <w:rPr>
                <w:rFonts w:hint="eastAsia" w:ascii="宋体" w:hAnsi="宋体"/>
                <w:sz w:val="24"/>
                <w:szCs w:val="24"/>
              </w:rPr>
              <w:t>月</w:t>
            </w:r>
            <w:r>
              <w:rPr>
                <w:rFonts w:ascii="宋体" w:hAnsi="宋体"/>
                <w:sz w:val="24"/>
                <w:szCs w:val="24"/>
              </w:rPr>
              <w:t>8</w:t>
            </w:r>
            <w:r>
              <w:rPr>
                <w:rFonts w:hint="eastAsia" w:ascii="宋体" w:hAnsi="宋体"/>
                <w:sz w:val="24"/>
                <w:szCs w:val="24"/>
              </w:rPr>
              <w:t>日成立于法国，主要活跃于</w:t>
            </w:r>
            <w:r>
              <w:rPr>
                <w:rFonts w:hint="eastAsia" w:ascii="Times New Roman" w:hAnsi="Times New Roman"/>
                <w:sz w:val="24"/>
                <w:szCs w:val="24"/>
              </w:rPr>
              <w:t>发电、电力批发、交易、输电、配电和供电领域，此外也参与少许天然气和能源供应服务。</w:t>
            </w:r>
          </w:p>
          <w:p>
            <w:pPr>
              <w:snapToGrid w:val="0"/>
              <w:contextualSpacing/>
              <w:rPr>
                <w:rFonts w:ascii="宋体" w:hAnsi="宋体"/>
                <w:sz w:val="24"/>
                <w:szCs w:val="24"/>
              </w:rPr>
            </w:pPr>
            <w:r>
              <w:rPr>
                <w:rFonts w:hint="eastAsia" w:ascii="宋体" w:hAnsi="宋体"/>
                <w:sz w:val="24"/>
                <w:szCs w:val="24"/>
              </w:rPr>
              <w:t>法国电力</w:t>
            </w:r>
            <w:r>
              <w:rPr>
                <w:rFonts w:hint="eastAsia" w:ascii="宋体" w:hAnsi="宋体"/>
                <w:sz w:val="24"/>
                <w:szCs w:val="24"/>
                <w:lang w:val="en-GB"/>
              </w:rPr>
              <w:t>集团的</w:t>
            </w:r>
            <w:r>
              <w:rPr>
                <w:rFonts w:hint="eastAsia" w:ascii="宋体" w:hAnsi="宋体"/>
                <w:sz w:val="24"/>
                <w:szCs w:val="24"/>
              </w:rPr>
              <w:t>最终控制人为法国政府。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980" w:type="dxa"/>
            <w:vMerge w:val="restart"/>
            <w:tcBorders>
              <w:top w:val="single" w:color="auto" w:sz="4" w:space="0"/>
              <w:left w:val="single" w:color="auto" w:sz="4" w:space="0"/>
              <w:bottom w:val="single" w:color="auto" w:sz="4" w:space="0"/>
              <w:right w:val="single" w:color="auto" w:sz="4" w:space="0"/>
            </w:tcBorders>
            <w:shd w:val="clear" w:color="auto" w:fill="D9D9D9"/>
            <w:vAlign w:val="center"/>
          </w:tcPr>
          <w:p>
            <w:pPr>
              <w:snapToGrid w:val="0"/>
              <w:contextualSpacing/>
              <w:jc w:val="left"/>
              <w:rPr>
                <w:rFonts w:ascii="宋体" w:hAnsi="宋体"/>
                <w:sz w:val="24"/>
                <w:szCs w:val="24"/>
              </w:rPr>
            </w:pPr>
            <w:r>
              <w:rPr>
                <w:rFonts w:ascii="宋体" w:hAnsi="宋体"/>
                <w:color w:val="333333"/>
                <w:kern w:val="0"/>
                <w:sz w:val="24"/>
                <w:szCs w:val="24"/>
              </w:rPr>
              <w:t>简易案件理由（可以单选，也可以多选）</w:t>
            </w:r>
          </w:p>
        </w:tc>
        <w:tc>
          <w:tcPr>
            <w:tcW w:w="6778" w:type="dxa"/>
            <w:gridSpan w:val="2"/>
          </w:tcPr>
          <w:p>
            <w:pPr>
              <w:snapToGrid w:val="0"/>
              <w:contextualSpacing/>
              <w:rPr>
                <w:rFonts w:ascii="宋体" w:hAnsi="宋体"/>
                <w:sz w:val="24"/>
                <w:szCs w:val="24"/>
              </w:rPr>
            </w:pPr>
            <w:r>
              <w:rPr>
                <w:rFonts w:ascii="宋体" w:hAnsi="宋体"/>
                <w:sz w:val="24"/>
                <w:szCs w:val="24"/>
              </w:rPr>
              <w:t>□1. 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Merge w:val="continue"/>
            <w:shd w:val="clear" w:color="auto" w:fill="D9D9D9"/>
          </w:tcPr>
          <w:p>
            <w:pPr>
              <w:snapToGrid w:val="0"/>
              <w:contextualSpacing/>
              <w:jc w:val="left"/>
              <w:rPr>
                <w:rFonts w:ascii="宋体" w:hAnsi="宋体"/>
                <w:sz w:val="24"/>
                <w:szCs w:val="24"/>
              </w:rPr>
            </w:pPr>
          </w:p>
        </w:tc>
        <w:tc>
          <w:tcPr>
            <w:tcW w:w="6778" w:type="dxa"/>
            <w:gridSpan w:val="2"/>
          </w:tcPr>
          <w:p>
            <w:pPr>
              <w:snapToGrid w:val="0"/>
              <w:contextualSpacing/>
              <w:rPr>
                <w:rFonts w:ascii="宋体" w:hAnsi="宋体"/>
                <w:sz w:val="24"/>
                <w:szCs w:val="24"/>
              </w:rPr>
            </w:pPr>
            <w:r>
              <w:rPr>
                <w:rFonts w:ascii="宋体" w:hAnsi="宋体"/>
                <w:sz w:val="24"/>
                <w:szCs w:val="24"/>
              </w:rPr>
              <w:t>□2. 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0" w:type="dxa"/>
            <w:vMerge w:val="continue"/>
            <w:shd w:val="clear" w:color="auto" w:fill="D9D9D9"/>
          </w:tcPr>
          <w:p>
            <w:pPr>
              <w:snapToGrid w:val="0"/>
              <w:contextualSpacing/>
              <w:jc w:val="left"/>
              <w:rPr>
                <w:rFonts w:ascii="宋体" w:hAnsi="宋体"/>
                <w:sz w:val="24"/>
                <w:szCs w:val="24"/>
              </w:rPr>
            </w:pPr>
          </w:p>
        </w:tc>
        <w:tc>
          <w:tcPr>
            <w:tcW w:w="6778" w:type="dxa"/>
            <w:gridSpan w:val="2"/>
          </w:tcPr>
          <w:p>
            <w:pPr>
              <w:snapToGrid w:val="0"/>
              <w:contextualSpacing/>
              <w:rPr>
                <w:rFonts w:ascii="宋体" w:hAnsi="宋体"/>
                <w:sz w:val="24"/>
                <w:szCs w:val="24"/>
              </w:rPr>
            </w:pPr>
            <w:r>
              <w:rPr>
                <w:rFonts w:ascii="宋体" w:hAnsi="宋体"/>
                <w:sz w:val="24"/>
                <w:szCs w:val="24"/>
              </w:rPr>
              <w:t>□3. 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980" w:type="dxa"/>
            <w:vMerge w:val="continue"/>
            <w:shd w:val="clear" w:color="auto" w:fill="D9D9D9"/>
          </w:tcPr>
          <w:p>
            <w:pPr>
              <w:snapToGrid w:val="0"/>
              <w:contextualSpacing/>
              <w:jc w:val="left"/>
              <w:rPr>
                <w:rFonts w:ascii="宋体" w:hAnsi="宋体"/>
                <w:sz w:val="24"/>
                <w:szCs w:val="24"/>
              </w:rPr>
            </w:pPr>
          </w:p>
        </w:tc>
        <w:tc>
          <w:tcPr>
            <w:tcW w:w="6778" w:type="dxa"/>
            <w:gridSpan w:val="2"/>
          </w:tcPr>
          <w:p>
            <w:pPr>
              <w:snapToGrid w:val="0"/>
              <w:contextualSpacing/>
              <w:rPr>
                <w:rFonts w:ascii="宋体" w:hAnsi="宋体"/>
                <w:bCs/>
                <w:sz w:val="24"/>
                <w:szCs w:val="24"/>
              </w:rPr>
            </w:pPr>
            <w:r>
              <w:rPr>
                <w:rFonts w:ascii="宋体" w:hAnsi="宋体"/>
                <w:sz w:val="24"/>
                <w:szCs w:val="24"/>
              </w:rPr>
              <w:t>□</w:t>
            </w:r>
            <w:r>
              <w:rPr>
                <w:rFonts w:ascii="宋体" w:hAnsi="宋体"/>
                <w:bCs/>
                <w:sz w:val="24"/>
                <w:szCs w:val="24"/>
              </w:rPr>
              <w:t>4. 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980" w:type="dxa"/>
            <w:vMerge w:val="continue"/>
            <w:shd w:val="clear" w:color="auto" w:fill="D9D9D9"/>
          </w:tcPr>
          <w:p>
            <w:pPr>
              <w:snapToGrid w:val="0"/>
              <w:contextualSpacing/>
              <w:jc w:val="left"/>
              <w:rPr>
                <w:rFonts w:ascii="宋体" w:hAnsi="宋体"/>
                <w:sz w:val="24"/>
                <w:szCs w:val="24"/>
              </w:rPr>
            </w:pPr>
          </w:p>
        </w:tc>
        <w:tc>
          <w:tcPr>
            <w:tcW w:w="6778" w:type="dxa"/>
            <w:gridSpan w:val="2"/>
          </w:tcPr>
          <w:p>
            <w:pPr>
              <w:snapToGrid w:val="0"/>
              <w:contextualSpacing/>
              <w:rPr>
                <w:rFonts w:ascii="宋体" w:hAnsi="宋体"/>
                <w:sz w:val="24"/>
                <w:szCs w:val="24"/>
              </w:rPr>
            </w:pPr>
            <w:r>
              <w:rPr>
                <w:rFonts w:ascii="宋体" w:hAnsi="宋体"/>
                <w:sz w:val="24"/>
                <w:szCs w:val="24"/>
              </w:rPr>
              <w:sym w:font="Wingdings" w:char="F0FE"/>
            </w:r>
            <w:r>
              <w:rPr>
                <w:rFonts w:ascii="宋体" w:hAnsi="宋体"/>
                <w:sz w:val="24"/>
                <w:szCs w:val="24"/>
              </w:rPr>
              <w:t>5. 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980" w:type="dxa"/>
            <w:vMerge w:val="continue"/>
            <w:shd w:val="clear" w:color="auto" w:fill="D9D9D9"/>
          </w:tcPr>
          <w:p>
            <w:pPr>
              <w:snapToGrid w:val="0"/>
              <w:contextualSpacing/>
              <w:jc w:val="left"/>
              <w:rPr>
                <w:rFonts w:ascii="宋体" w:hAnsi="宋体"/>
                <w:sz w:val="24"/>
                <w:szCs w:val="24"/>
              </w:rPr>
            </w:pPr>
          </w:p>
        </w:tc>
        <w:tc>
          <w:tcPr>
            <w:tcW w:w="6778" w:type="dxa"/>
            <w:gridSpan w:val="2"/>
          </w:tcPr>
          <w:p>
            <w:pPr>
              <w:snapToGrid w:val="0"/>
              <w:contextualSpacing/>
              <w:rPr>
                <w:rFonts w:ascii="宋体" w:hAnsi="宋体"/>
                <w:sz w:val="24"/>
                <w:szCs w:val="24"/>
              </w:rPr>
            </w:pPr>
            <w:r>
              <w:rPr>
                <w:rFonts w:ascii="宋体" w:hAnsi="宋体"/>
                <w:sz w:val="24"/>
                <w:szCs w:val="24"/>
              </w:rPr>
              <w:t>□6. 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D9D9D9"/>
          </w:tcPr>
          <w:p>
            <w:pPr>
              <w:snapToGrid w:val="0"/>
              <w:contextualSpacing/>
              <w:jc w:val="left"/>
              <w:rPr>
                <w:rFonts w:ascii="宋体" w:hAnsi="宋体"/>
                <w:sz w:val="24"/>
                <w:szCs w:val="24"/>
              </w:rPr>
            </w:pPr>
            <w:r>
              <w:rPr>
                <w:rFonts w:ascii="宋体" w:hAnsi="宋体"/>
                <w:sz w:val="24"/>
                <w:szCs w:val="24"/>
              </w:rPr>
              <w:t>备注</w:t>
            </w:r>
          </w:p>
        </w:tc>
        <w:tc>
          <w:tcPr>
            <w:tcW w:w="6778" w:type="dxa"/>
            <w:gridSpan w:val="2"/>
          </w:tcPr>
          <w:p>
            <w:pPr>
              <w:adjustRightInd w:val="0"/>
              <w:snapToGrid w:val="0"/>
              <w:contextualSpacing/>
              <w:jc w:val="left"/>
              <w:rPr>
                <w:rFonts w:ascii="宋体" w:hAnsi="宋体"/>
                <w:bCs/>
                <w:color w:val="000000"/>
                <w:sz w:val="24"/>
                <w:szCs w:val="24"/>
              </w:rPr>
            </w:pPr>
            <w:r>
              <w:rPr>
                <w:rFonts w:hint="eastAsia" w:ascii="宋体" w:hAnsi="宋体"/>
                <w:bCs/>
                <w:color w:val="000000"/>
                <w:sz w:val="24"/>
                <w:szCs w:val="24"/>
              </w:rPr>
              <w:t>不适用</w:t>
            </w:r>
          </w:p>
        </w:tc>
      </w:tr>
    </w:tbl>
    <w:p>
      <w:pPr>
        <w:pStyle w:val="3"/>
        <w:rPr>
          <w:rFonts w:ascii="Times New Roman" w:hAnsi="Times New Roman"/>
          <w:sz w:val="24"/>
          <w:szCs w:val="24"/>
        </w:rPr>
      </w:pPr>
    </w:p>
    <w:sectPr>
      <w:footerReference r:id="rId4" w:type="first"/>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华文楷体">
    <w:panose1 w:val="02010600040101010101"/>
    <w:charset w:val="86"/>
    <w:family w:val="auto"/>
    <w:pitch w:val="default"/>
    <w:sig w:usb0="00000287" w:usb1="080F0000" w:usb2="00000000" w:usb3="00000000" w:csb0="0004009F" w:csb1="DFD70000"/>
  </w:font>
  <w:font w:name="Segoe UI">
    <w:altName w:val="微软雅黑 Light"/>
    <w:panose1 w:val="020B0502040204020203"/>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微软雅黑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6"/>
        <w:szCs w:val="16"/>
      </w:rPr>
      <w:id w:val="-1"/>
      <w:docPartObj>
        <w:docPartGallery w:val="autotext"/>
      </w:docPartObj>
    </w:sdtPr>
    <w:sdtEndPr>
      <w:rPr>
        <w:rFonts w:ascii="Times New Roman" w:hAnsi="Times New Roman"/>
        <w:sz w:val="16"/>
        <w:szCs w:val="16"/>
      </w:rPr>
    </w:sdtEndPr>
    <w:sdtContent>
      <w:p>
        <w:pPr>
          <w:pStyle w:val="5"/>
          <w:jc w:val="cen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sz w:val="16"/>
            <w:szCs w:val="16"/>
          </w:rPr>
          <w:t>2</w:t>
        </w:r>
        <w:r>
          <w:rPr>
            <w:rFonts w:ascii="Times New Roman" w:hAnsi="Times New Roman"/>
            <w:sz w:val="16"/>
            <w:szCs w:val="16"/>
          </w:rPr>
          <w:fldChar w:fldCharType="end"/>
        </w:r>
      </w:p>
    </w:sdtContent>
  </w:sdt>
  <w:p>
    <w:pPr>
      <w:pStyle w:val="5"/>
      <w:spacing w:line="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20" w:lineRule="exact"/>
    </w:pPr>
    <w:r>
      <mc:AlternateContent>
        <mc:Choice Requires="wps">
          <w:drawing>
            <wp:anchor distT="0" distB="0" distL="114300" distR="114300" simplePos="0" relativeHeight="251659264" behindDoc="1" locked="0" layoutInCell="1" allowOverlap="1">
              <wp:simplePos x="0" y="0"/>
              <wp:positionH relativeFrom="margin">
                <wp:posOffset>0</wp:posOffset>
              </wp:positionH>
              <wp:positionV relativeFrom="paragraph">
                <wp:posOffset>-126365</wp:posOffset>
              </wp:positionV>
              <wp:extent cx="2560320" cy="255905"/>
              <wp:effectExtent l="0" t="0" r="11430" b="10795"/>
              <wp:wrapNone/>
              <wp:docPr id="1" name="Text Box 1"/>
              <wp:cNvGraphicFramePr/>
              <a:graphic xmlns:a="http://schemas.openxmlformats.org/drawingml/2006/main">
                <a:graphicData uri="http://schemas.microsoft.com/office/word/2010/wordprocessingShape">
                  <wps:wsp>
                    <wps:cNvSpPr txBox="true">
                      <a:spLocks noChangeArrowheads="true"/>
                    </wps:cNvSpPr>
                    <wps:spPr bwMode="auto">
                      <a:xfrm>
                        <a:off x="0" y="0"/>
                        <a:ext cx="2560320" cy="255905"/>
                      </a:xfrm>
                      <a:prstGeom prst="rect">
                        <a:avLst/>
                      </a:prstGeom>
                      <a:noFill/>
                      <a:ln>
                        <a:noFill/>
                      </a:ln>
                    </wps:spPr>
                    <wps:txbx>
                      <w:txbxContent>
                        <w:p>
                          <w:pPr>
                            <w:pStyle w:val="22"/>
                          </w:pPr>
                          <w:r>
                            <w:fldChar w:fldCharType="begin"/>
                          </w:r>
                          <w:r>
                            <w:instrText xml:space="preserve"> DOCPROPERTY  docId </w:instrText>
                          </w:r>
                          <w:r>
                            <w:fldChar w:fldCharType="separate"/>
                          </w:r>
                          <w:r>
                            <w:t>-</w:t>
                          </w:r>
                          <w:r>
                            <w:fldChar w:fldCharType="end"/>
                          </w:r>
                          <w:r>
                            <w:fldChar w:fldCharType="begin"/>
                          </w:r>
                          <w:r>
                            <w:instrText xml:space="preserve"> IF </w:instrText>
                          </w:r>
                          <w:r>
                            <w:fldChar w:fldCharType="begin"/>
                          </w:r>
                          <w:r>
                            <w:instrText xml:space="preserve"> DOCPROPERTY  docIncludeVersion </w:instrText>
                          </w:r>
                          <w:r>
                            <w:fldChar w:fldCharType="separate"/>
                          </w:r>
                          <w:r>
                            <w:instrText xml:space="preserve">true</w:instrText>
                          </w:r>
                          <w:r>
                            <w:fldChar w:fldCharType="end"/>
                          </w:r>
                          <w:r>
                            <w:instrText xml:space="preserve"> = true "/</w:instrText>
                          </w:r>
                          <w:r>
                            <w:fldChar w:fldCharType="begin"/>
                          </w:r>
                          <w:r>
                            <w:instrText xml:space="preserve"> DOCPROPERTY  docVersion </w:instrText>
                          </w:r>
                          <w:r>
                            <w:fldChar w:fldCharType="separate"/>
                          </w:r>
                          <w:r>
                            <w:instrText xml:space="preserve">0</w:instrText>
                          </w:r>
                          <w:r>
                            <w:fldChar w:fldCharType="end"/>
                          </w:r>
                          <w:r>
                            <w:instrText xml:space="preserve">"</w:instrText>
                          </w:r>
                          <w:r>
                            <w:fldChar w:fldCharType="separate"/>
                          </w:r>
                          <w:r>
                            <w:t>/0</w:t>
                          </w:r>
                          <w:r>
                            <w:fldChar w:fldCharType="end"/>
                          </w:r>
                          <w:r>
                            <w:t xml:space="preserve">   </w:t>
                          </w:r>
                          <w:r>
                            <w:fldChar w:fldCharType="begin"/>
                          </w:r>
                          <w:r>
                            <w:instrText xml:space="preserve"> IF </w:instrText>
                          </w:r>
                          <w:r>
                            <w:fldChar w:fldCharType="begin"/>
                          </w:r>
                          <w:r>
                            <w:instrText xml:space="preserve"> DOCPROPERTY  docIncludeCliMat </w:instrText>
                          </w:r>
                          <w:r>
                            <w:fldChar w:fldCharType="separate"/>
                          </w:r>
                          <w:r>
                            <w:instrText xml:space="preserve">true</w:instrText>
                          </w:r>
                          <w:r>
                            <w:fldChar w:fldCharType="end"/>
                          </w:r>
                          <w:r>
                            <w:instrText xml:space="preserve"> = true </w:instrText>
                          </w:r>
                          <w:r>
                            <w:fldChar w:fldCharType="begin"/>
                          </w:r>
                          <w:r>
                            <w:instrText xml:space="preserve"> DOCPROPERTY  docCliMat </w:instrText>
                          </w:r>
                          <w:r>
                            <w:fldChar w:fldCharType="end"/>
                          </w:r>
                          <w:r>
                            <w:instrText xml:space="preserve">  </w:instrText>
                          </w:r>
                          <w:r>
                            <w:fldChar w:fldCharType="end"/>
                          </w:r>
                        </w:p>
                        <w:p>
                          <w:pPr>
                            <w:pStyle w:val="22"/>
                          </w:pPr>
                        </w:p>
                      </w:txbxContent>
                    </wps:txbx>
                    <wps:bodyPr rot="0" vert="horz" wrap="square" lIns="0" tIns="0" rIns="0" bIns="0" anchor="t" anchorCtr="false" upright="true">
                      <a:noAutofit/>
                    </wps:bodyPr>
                  </wps:wsp>
                </a:graphicData>
              </a:graphic>
            </wp:anchor>
          </w:drawing>
        </mc:Choice>
        <mc:Fallback>
          <w:pict>
            <v:shape id="Text Box 1" o:spid="_x0000_s1026" o:spt="202" type="#_x0000_t202" style="position:absolute;left:0pt;margin-left:0pt;margin-top:-9.95pt;height:20.15pt;width:201.6pt;mso-position-horizontal-relative:margin;z-index:-251657216;mso-width-relative:page;mso-height-relative:page;" filled="f" stroked="f" coordsize="21600,21600" o:gfxdata="UEsFBgAAAAAAAAAAAAAAAAAAAAAAAFBLAwQKAAAAAACHTuJAAAAAAAAAAAAAAAAABAAAAGRycy9Q&#10;SwMEFAAAAAgAh07iQN4L683XAAAABwEAAA8AAABkcnMvZG93bnJldi54bWxNj81OwzAQhO9IvIO1&#10;lbi1dkJVkTSbCiE4ISHScODoJNvEarwOsfvD22NOcBzNaOabYne1ozjT7I1jhGSlQBC3rjPcI3zU&#10;L8sHED5o7vTomBC+ycOuvL0pdN65C1d03odexBL2uUYYQphyKX07kNV+5Sbi6B3cbHWIcu5lN+tL&#10;LLejTJXaSKsNx4VBT/Q0UHvcnyzC4ydXz+brrXmvDpWp60zx6+aIeLdI1BZEoGv4C8MvfkSHMjI1&#10;7sSdFyNCPBIQlkmWgYj2Wt2nIBqEVK1BloX8z1/+AFBLAwQUAAAACACHTuJA93Aed+cBAADDAwAA&#10;DgAAAGRycy9lMm9Eb2MueG1srVPBbtswDL0P2D8Iui92MqTYjDhF16LDgG4r0O4DGFmKhdmiRimx&#10;s68fJSdp196GXQSKpB4fH6nV5dh3Yq8pWHS1nM9KKbRT2Fi3reWPx9t3H6QIEVwDHTpdy4MO8nL9&#10;9s1q8JVeYItdo0kwiAvV4GvZxuirogiq1T2EGXrtOGiQeoh8pW3REAyM3nfFoiwvigGp8YRKh8De&#10;myko1xnfGK3id2OCjqKrJXOL+aR8btJZrFdQbQl8a9WRBvwDix6s46JnqBuIIHZkX0H1VhEGNHGm&#10;sC/QGKt07oG7mZcvunlowevcC4sT/Fmm8P9g1bf9PQnb8OykcNDziB71GMUnHMU8qTP4UHHSg+e0&#10;OLK7lpF2iRVUwd+h+hmEw+sW3FZfEeHQamiYYE7i98UzgAktJKjN8BUbLga7iBlrNNQnTJZEcA2e&#10;1eE8n0RIsXOxvCjfLzikOLZYLj+Wy0SxgOr02lOInzX2Ihm1JJ5/Rof9XYhT6iklFXN4a7uO/VB1&#10;7i8HYyZPZp8IT9TjuBk5O7W0webAfRBOK8VfgI0W6bcUA69TLcOvHZCWovviWI60eyeDTsbmZIBT&#10;/JRFk2IyryPfDHSBAXae7LZl9LPuDq9YNmNzR09kjnR5U7Imx61Oq/j8nrOe/t76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N4L683XAAAABwEAAA8AAAAAAAAAAQAgAAAAOAAAAGRycy9kb3ducmV2&#10;LnhtbFBLAQIUABQAAAAIAIdO4kD3cB535wEAAMMDAAAOAAAAAAAAAAEAIAAAADwBAABkcnMvZTJv&#10;RG9jLnhtbFBLBQYAAAAABgAGAFkBAACVBQAAAAA=&#10;">
              <v:fill on="f" focussize="0,0"/>
              <v:stroke on="f"/>
              <v:imagedata o:title=""/>
              <o:lock v:ext="edit" aspectratio="f"/>
              <v:textbox inset="0mm,0mm,0mm,0mm">
                <w:txbxContent>
                  <w:p>
                    <w:pPr>
                      <w:pStyle w:val="22"/>
                    </w:pPr>
                    <w:r>
                      <w:fldChar w:fldCharType="begin"/>
                    </w:r>
                    <w:r>
                      <w:instrText xml:space="preserve"> DOCPROPERTY  docId </w:instrText>
                    </w:r>
                    <w:r>
                      <w:fldChar w:fldCharType="separate"/>
                    </w:r>
                    <w:r>
                      <w:t>-</w:t>
                    </w:r>
                    <w:r>
                      <w:fldChar w:fldCharType="end"/>
                    </w:r>
                    <w:r>
                      <w:fldChar w:fldCharType="begin"/>
                    </w:r>
                    <w:r>
                      <w:instrText xml:space="preserve"> IF </w:instrText>
                    </w:r>
                    <w:r>
                      <w:fldChar w:fldCharType="begin"/>
                    </w:r>
                    <w:r>
                      <w:instrText xml:space="preserve"> DOCPROPERTY  docIncludeVersion </w:instrText>
                    </w:r>
                    <w:r>
                      <w:fldChar w:fldCharType="separate"/>
                    </w:r>
                    <w:r>
                      <w:instrText xml:space="preserve">true</w:instrText>
                    </w:r>
                    <w:r>
                      <w:fldChar w:fldCharType="end"/>
                    </w:r>
                    <w:r>
                      <w:instrText xml:space="preserve"> = true "/</w:instrText>
                    </w:r>
                    <w:r>
                      <w:fldChar w:fldCharType="begin"/>
                    </w:r>
                    <w:r>
                      <w:instrText xml:space="preserve"> DOCPROPERTY  docVersion </w:instrText>
                    </w:r>
                    <w:r>
                      <w:fldChar w:fldCharType="separate"/>
                    </w:r>
                    <w:r>
                      <w:instrText xml:space="preserve">0</w:instrText>
                    </w:r>
                    <w:r>
                      <w:fldChar w:fldCharType="end"/>
                    </w:r>
                    <w:r>
                      <w:instrText xml:space="preserve">"</w:instrText>
                    </w:r>
                    <w:r>
                      <w:fldChar w:fldCharType="separate"/>
                    </w:r>
                    <w:r>
                      <w:t>/0</w:t>
                    </w:r>
                    <w:r>
                      <w:fldChar w:fldCharType="end"/>
                    </w:r>
                    <w:r>
                      <w:t xml:space="preserve">   </w:t>
                    </w:r>
                    <w:r>
                      <w:fldChar w:fldCharType="begin"/>
                    </w:r>
                    <w:r>
                      <w:instrText xml:space="preserve"> IF </w:instrText>
                    </w:r>
                    <w:r>
                      <w:fldChar w:fldCharType="begin"/>
                    </w:r>
                    <w:r>
                      <w:instrText xml:space="preserve"> DOCPROPERTY  docIncludeCliMat </w:instrText>
                    </w:r>
                    <w:r>
                      <w:fldChar w:fldCharType="separate"/>
                    </w:r>
                    <w:r>
                      <w:instrText xml:space="preserve">true</w:instrText>
                    </w:r>
                    <w:r>
                      <w:fldChar w:fldCharType="end"/>
                    </w:r>
                    <w:r>
                      <w:instrText xml:space="preserve"> = true </w:instrText>
                    </w:r>
                    <w:r>
                      <w:fldChar w:fldCharType="begin"/>
                    </w:r>
                    <w:r>
                      <w:instrText xml:space="preserve"> DOCPROPERTY  docCliMat </w:instrText>
                    </w:r>
                    <w:r>
                      <w:fldChar w:fldCharType="end"/>
                    </w:r>
                    <w:r>
                      <w:instrText xml:space="preserve">  </w:instrText>
                    </w:r>
                    <w:r>
                      <w:fldChar w:fldCharType="end"/>
                    </w:r>
                  </w:p>
                  <w:p>
                    <w:pPr>
                      <w:pStyle w:val="22"/>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trackRevisions w:val="true"/>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a-cretford\AppData\Local\Temp\9\3da74179-3a33-42f6-aff9-f766e26957b2.docx"/>
    <w:docVar w:name="zzmp10LastTrailerInserted" w:val="^`~#mp!@D`B#!┝┪8=&gt;řmÓQËV⌙‧íTpw%C¬¾⌖`'J⌋!ì⌍c´2sÔÏ⌆⌝ã @æüö_E‿b⌚=⌋⌗‟é9çƄ6lÑØFºÃ×C”À⌗Ué⌊:^«G @¨ÓúÅâ®GT· ´⌍\⌒¼Ö:5'ÓÿZDs;VÕãŤûÈ!BÙ#äY⌞¨X”3­[º? ì2«eƄç=ÜF⌆ñ&gt;u⌒8´G⌓†‪⌄Ã  l²m²rˌâIýÓì˥″L⌎ùƆQ°⌚øKxOf©6ò0µOzÓ⌛æÇgƆAúøµÉ⌃Ú⌕ý†@Öê•ýÇXõ⌠wæìÚWýoûÏ­MVX{Í×.Ŧáò¾ùç9§èD⌊ZáÈL×e⌡M‖[ëd‿6lÝwféƛìO•†(⌅h:HmX*oß011"/>
    <w:docVar w:name="zzmp10LastTrailerInserted_2832" w:val="^`~#mp!@D`B#!┝┪8=&gt;řmÓQËV⌙‧íTpw%C¬¾⌖`'J⌋!ì⌍c´2sÔÏ⌆⌝ã @æüö_E‿b⌚=⌋⌗‟é9çƄ6lÑØFºÃ×C”À⌗Ué⌊:^«G @¨ÓúÅâ®GT· ´⌍\⌒¼Ö:5'ÓÿZDs;VÕãŤûÈ!BÙ#äY⌞¨X”3­[º? ì2«eƄç=ÜF⌆ñ&gt;u⌒8´G⌓†‪⌄Ã  l²m²rˌâIýÓì˥″L⌎ùƆQ°⌚øKxOf©6ò0µOzÓ⌛æÇgƆAúøµÉ⌃Ú⌕ý†@Öê•ýÇXõ⌠wæìÚWýoûÏ­MVX{Í×.Ŧáò¾ùç9§èD⌊ZáÈL×e⌡M‖[ëd‿6lÝwféƛìO•†(⌅h:HmX*oß011"/>
    <w:docVar w:name="zzmp10mSEGsValidated" w:val="1"/>
    <w:docVar w:name="zzmpCompatibilityMode" w:val="15"/>
    <w:docVar w:name="zzmpLegacyTrailerRemoved" w:val="True"/>
  </w:docVars>
  <w:rsids>
    <w:rsidRoot w:val="0025066F"/>
    <w:rsid w:val="00001545"/>
    <w:rsid w:val="00003857"/>
    <w:rsid w:val="00017B95"/>
    <w:rsid w:val="00030D00"/>
    <w:rsid w:val="00040832"/>
    <w:rsid w:val="00041428"/>
    <w:rsid w:val="00077456"/>
    <w:rsid w:val="000916E8"/>
    <w:rsid w:val="0009246F"/>
    <w:rsid w:val="000A2A65"/>
    <w:rsid w:val="000A7E19"/>
    <w:rsid w:val="000B375A"/>
    <w:rsid w:val="000E449B"/>
    <w:rsid w:val="000F4D6E"/>
    <w:rsid w:val="0010063F"/>
    <w:rsid w:val="00111326"/>
    <w:rsid w:val="00116916"/>
    <w:rsid w:val="0012444E"/>
    <w:rsid w:val="0013364A"/>
    <w:rsid w:val="00133E5A"/>
    <w:rsid w:val="00162F94"/>
    <w:rsid w:val="00163896"/>
    <w:rsid w:val="00164CDE"/>
    <w:rsid w:val="00173E89"/>
    <w:rsid w:val="00175169"/>
    <w:rsid w:val="001874E0"/>
    <w:rsid w:val="001B0FBB"/>
    <w:rsid w:val="001B154A"/>
    <w:rsid w:val="001B55B9"/>
    <w:rsid w:val="001B60EF"/>
    <w:rsid w:val="001D4676"/>
    <w:rsid w:val="001D6EBC"/>
    <w:rsid w:val="001E092F"/>
    <w:rsid w:val="001F02B1"/>
    <w:rsid w:val="001F2432"/>
    <w:rsid w:val="00210326"/>
    <w:rsid w:val="00211B63"/>
    <w:rsid w:val="00222474"/>
    <w:rsid w:val="002249C6"/>
    <w:rsid w:val="00227DF2"/>
    <w:rsid w:val="0023250D"/>
    <w:rsid w:val="00236AE6"/>
    <w:rsid w:val="0025066F"/>
    <w:rsid w:val="0027647C"/>
    <w:rsid w:val="00276F85"/>
    <w:rsid w:val="0028045A"/>
    <w:rsid w:val="00280974"/>
    <w:rsid w:val="00293A6F"/>
    <w:rsid w:val="002A5024"/>
    <w:rsid w:val="002A6A70"/>
    <w:rsid w:val="002C28FF"/>
    <w:rsid w:val="002E08F7"/>
    <w:rsid w:val="002E43F9"/>
    <w:rsid w:val="00311A8D"/>
    <w:rsid w:val="0031423E"/>
    <w:rsid w:val="00316408"/>
    <w:rsid w:val="00317D94"/>
    <w:rsid w:val="003400B8"/>
    <w:rsid w:val="00340FC1"/>
    <w:rsid w:val="0034372C"/>
    <w:rsid w:val="00347F5E"/>
    <w:rsid w:val="003662FD"/>
    <w:rsid w:val="0036771F"/>
    <w:rsid w:val="00367E22"/>
    <w:rsid w:val="00380F79"/>
    <w:rsid w:val="0039347A"/>
    <w:rsid w:val="00397E12"/>
    <w:rsid w:val="003A5438"/>
    <w:rsid w:val="003B0359"/>
    <w:rsid w:val="003B7F75"/>
    <w:rsid w:val="003C2EEF"/>
    <w:rsid w:val="003C6901"/>
    <w:rsid w:val="003E0927"/>
    <w:rsid w:val="003E5D4D"/>
    <w:rsid w:val="00401BD6"/>
    <w:rsid w:val="00404355"/>
    <w:rsid w:val="004069BC"/>
    <w:rsid w:val="00410E50"/>
    <w:rsid w:val="004214F0"/>
    <w:rsid w:val="0042386B"/>
    <w:rsid w:val="00425D37"/>
    <w:rsid w:val="00425DDB"/>
    <w:rsid w:val="00446F83"/>
    <w:rsid w:val="00455A3A"/>
    <w:rsid w:val="004748E5"/>
    <w:rsid w:val="00475630"/>
    <w:rsid w:val="00476C89"/>
    <w:rsid w:val="004817A6"/>
    <w:rsid w:val="004A0067"/>
    <w:rsid w:val="004A25B2"/>
    <w:rsid w:val="004B46C4"/>
    <w:rsid w:val="004B4DD1"/>
    <w:rsid w:val="004B6CF9"/>
    <w:rsid w:val="004B74A2"/>
    <w:rsid w:val="004B78EE"/>
    <w:rsid w:val="004C6304"/>
    <w:rsid w:val="004D2E77"/>
    <w:rsid w:val="004D68D1"/>
    <w:rsid w:val="004D7248"/>
    <w:rsid w:val="004E132B"/>
    <w:rsid w:val="004E7805"/>
    <w:rsid w:val="004F7D46"/>
    <w:rsid w:val="00507649"/>
    <w:rsid w:val="00515F77"/>
    <w:rsid w:val="00536174"/>
    <w:rsid w:val="0053645E"/>
    <w:rsid w:val="00536D00"/>
    <w:rsid w:val="00562CA8"/>
    <w:rsid w:val="00562EC8"/>
    <w:rsid w:val="005653C7"/>
    <w:rsid w:val="00595762"/>
    <w:rsid w:val="00596336"/>
    <w:rsid w:val="005A1732"/>
    <w:rsid w:val="005A2602"/>
    <w:rsid w:val="005B77A0"/>
    <w:rsid w:val="005D179F"/>
    <w:rsid w:val="005D34A0"/>
    <w:rsid w:val="005F7398"/>
    <w:rsid w:val="006000D7"/>
    <w:rsid w:val="006042AE"/>
    <w:rsid w:val="00604A9B"/>
    <w:rsid w:val="00604B3A"/>
    <w:rsid w:val="00621CE4"/>
    <w:rsid w:val="006301E3"/>
    <w:rsid w:val="00641B63"/>
    <w:rsid w:val="00646B45"/>
    <w:rsid w:val="00654C8F"/>
    <w:rsid w:val="00661140"/>
    <w:rsid w:val="006624F1"/>
    <w:rsid w:val="00667309"/>
    <w:rsid w:val="006823F0"/>
    <w:rsid w:val="006876D9"/>
    <w:rsid w:val="006A3534"/>
    <w:rsid w:val="006C1200"/>
    <w:rsid w:val="006C54C2"/>
    <w:rsid w:val="006C6284"/>
    <w:rsid w:val="006E6C59"/>
    <w:rsid w:val="006F2772"/>
    <w:rsid w:val="00704995"/>
    <w:rsid w:val="0071009E"/>
    <w:rsid w:val="0071092A"/>
    <w:rsid w:val="007134EF"/>
    <w:rsid w:val="0071560C"/>
    <w:rsid w:val="007323BB"/>
    <w:rsid w:val="00742FEC"/>
    <w:rsid w:val="0077526E"/>
    <w:rsid w:val="00777444"/>
    <w:rsid w:val="007A40C5"/>
    <w:rsid w:val="007B4403"/>
    <w:rsid w:val="007C226D"/>
    <w:rsid w:val="007C5C3C"/>
    <w:rsid w:val="007D3BDE"/>
    <w:rsid w:val="007D48DE"/>
    <w:rsid w:val="007D680B"/>
    <w:rsid w:val="007E0C77"/>
    <w:rsid w:val="007E6522"/>
    <w:rsid w:val="007E789D"/>
    <w:rsid w:val="007F3E01"/>
    <w:rsid w:val="007F54A2"/>
    <w:rsid w:val="00823870"/>
    <w:rsid w:val="00826A5D"/>
    <w:rsid w:val="00847265"/>
    <w:rsid w:val="00847E59"/>
    <w:rsid w:val="00862F51"/>
    <w:rsid w:val="008668E3"/>
    <w:rsid w:val="008702FE"/>
    <w:rsid w:val="00873737"/>
    <w:rsid w:val="00877413"/>
    <w:rsid w:val="00885B1F"/>
    <w:rsid w:val="00886A12"/>
    <w:rsid w:val="0089254E"/>
    <w:rsid w:val="008B326C"/>
    <w:rsid w:val="008B3EBC"/>
    <w:rsid w:val="008B78E9"/>
    <w:rsid w:val="008C4C37"/>
    <w:rsid w:val="008C72C6"/>
    <w:rsid w:val="008D0561"/>
    <w:rsid w:val="008D4C61"/>
    <w:rsid w:val="008D648A"/>
    <w:rsid w:val="008F3197"/>
    <w:rsid w:val="008F5261"/>
    <w:rsid w:val="008F5F4C"/>
    <w:rsid w:val="00903B1B"/>
    <w:rsid w:val="00905A02"/>
    <w:rsid w:val="00922C31"/>
    <w:rsid w:val="00934704"/>
    <w:rsid w:val="0093555D"/>
    <w:rsid w:val="009466F6"/>
    <w:rsid w:val="009478D6"/>
    <w:rsid w:val="009561EA"/>
    <w:rsid w:val="009A6B07"/>
    <w:rsid w:val="009A7605"/>
    <w:rsid w:val="009B710B"/>
    <w:rsid w:val="009C10F0"/>
    <w:rsid w:val="009F3676"/>
    <w:rsid w:val="00A11016"/>
    <w:rsid w:val="00A12B71"/>
    <w:rsid w:val="00A33CEC"/>
    <w:rsid w:val="00A33DA8"/>
    <w:rsid w:val="00A4069C"/>
    <w:rsid w:val="00A424EB"/>
    <w:rsid w:val="00A434A1"/>
    <w:rsid w:val="00A66795"/>
    <w:rsid w:val="00A7311F"/>
    <w:rsid w:val="00A7511C"/>
    <w:rsid w:val="00A81150"/>
    <w:rsid w:val="00A944DA"/>
    <w:rsid w:val="00A9769A"/>
    <w:rsid w:val="00AA3ED9"/>
    <w:rsid w:val="00AA53B4"/>
    <w:rsid w:val="00AA5C58"/>
    <w:rsid w:val="00AB536E"/>
    <w:rsid w:val="00AB5B9E"/>
    <w:rsid w:val="00AD032A"/>
    <w:rsid w:val="00AD58C4"/>
    <w:rsid w:val="00AE2B3A"/>
    <w:rsid w:val="00AF7386"/>
    <w:rsid w:val="00B11C52"/>
    <w:rsid w:val="00B17C2A"/>
    <w:rsid w:val="00B23131"/>
    <w:rsid w:val="00B27B0C"/>
    <w:rsid w:val="00B31CD4"/>
    <w:rsid w:val="00B452A4"/>
    <w:rsid w:val="00B6221B"/>
    <w:rsid w:val="00B646AB"/>
    <w:rsid w:val="00B75755"/>
    <w:rsid w:val="00B945D9"/>
    <w:rsid w:val="00BA20C5"/>
    <w:rsid w:val="00BA66C1"/>
    <w:rsid w:val="00BC5AB9"/>
    <w:rsid w:val="00BE1B10"/>
    <w:rsid w:val="00BF5183"/>
    <w:rsid w:val="00C27009"/>
    <w:rsid w:val="00C350C3"/>
    <w:rsid w:val="00C5070F"/>
    <w:rsid w:val="00C7584C"/>
    <w:rsid w:val="00C77246"/>
    <w:rsid w:val="00C8240E"/>
    <w:rsid w:val="00CA4254"/>
    <w:rsid w:val="00CB5C45"/>
    <w:rsid w:val="00CD1E99"/>
    <w:rsid w:val="00CD756B"/>
    <w:rsid w:val="00CE066B"/>
    <w:rsid w:val="00CF2DEE"/>
    <w:rsid w:val="00D02AFE"/>
    <w:rsid w:val="00D03942"/>
    <w:rsid w:val="00D04387"/>
    <w:rsid w:val="00D053EA"/>
    <w:rsid w:val="00D0733C"/>
    <w:rsid w:val="00D40A45"/>
    <w:rsid w:val="00D44B4B"/>
    <w:rsid w:val="00D45FAF"/>
    <w:rsid w:val="00D50A73"/>
    <w:rsid w:val="00D546BD"/>
    <w:rsid w:val="00D659AE"/>
    <w:rsid w:val="00DA7417"/>
    <w:rsid w:val="00DB1217"/>
    <w:rsid w:val="00DB28F2"/>
    <w:rsid w:val="00DB5393"/>
    <w:rsid w:val="00DC6494"/>
    <w:rsid w:val="00DE24D8"/>
    <w:rsid w:val="00DE322B"/>
    <w:rsid w:val="00DF094C"/>
    <w:rsid w:val="00DF7E9E"/>
    <w:rsid w:val="00E23257"/>
    <w:rsid w:val="00E2401D"/>
    <w:rsid w:val="00E2571E"/>
    <w:rsid w:val="00E340BD"/>
    <w:rsid w:val="00E40EB1"/>
    <w:rsid w:val="00E62C2C"/>
    <w:rsid w:val="00E7403A"/>
    <w:rsid w:val="00E83EBA"/>
    <w:rsid w:val="00E871F9"/>
    <w:rsid w:val="00EB26D9"/>
    <w:rsid w:val="00EB3C9C"/>
    <w:rsid w:val="00EC45C4"/>
    <w:rsid w:val="00ED41BF"/>
    <w:rsid w:val="00ED5B87"/>
    <w:rsid w:val="00EF6FB1"/>
    <w:rsid w:val="00F12B02"/>
    <w:rsid w:val="00F13E0E"/>
    <w:rsid w:val="00F26897"/>
    <w:rsid w:val="00F31BD1"/>
    <w:rsid w:val="00F403C5"/>
    <w:rsid w:val="00F43D0B"/>
    <w:rsid w:val="00F524DE"/>
    <w:rsid w:val="00F56463"/>
    <w:rsid w:val="00F657A6"/>
    <w:rsid w:val="00F81796"/>
    <w:rsid w:val="00F82069"/>
    <w:rsid w:val="00F934AA"/>
    <w:rsid w:val="00F97290"/>
    <w:rsid w:val="00FA7A0D"/>
    <w:rsid w:val="00FC4504"/>
    <w:rsid w:val="00FD21F0"/>
    <w:rsid w:val="00FF288E"/>
    <w:rsid w:val="39F5956D"/>
    <w:rsid w:val="FDAF4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华文楷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iPriority="99" w:name="annotation reference"/>
    <w:lsdException w:uiPriority="99" w:name="line number"/>
    <w:lsdException w:uiPriority="99" w:name="page number"/>
    <w:lsdException w:uiPriority="99"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unhideWhenUsed/>
    <w:qFormat/>
    <w:uiPriority w:val="99"/>
    <w:rPr>
      <w:sz w:val="20"/>
      <w:szCs w:val="20"/>
    </w:rPr>
  </w:style>
  <w:style w:type="paragraph" w:styleId="3">
    <w:name w:val="endnote text"/>
    <w:basedOn w:val="1"/>
    <w:link w:val="16"/>
    <w:semiHidden/>
    <w:qFormat/>
    <w:uiPriority w:val="0"/>
    <w:pPr>
      <w:snapToGrid w:val="0"/>
      <w:jc w:val="left"/>
    </w:pPr>
  </w:style>
  <w:style w:type="paragraph" w:styleId="4">
    <w:name w:val="Balloon Text"/>
    <w:basedOn w:val="1"/>
    <w:link w:val="17"/>
    <w:semiHidden/>
    <w:unhideWhenUsed/>
    <w:qFormat/>
    <w:uiPriority w:val="99"/>
    <w:rPr>
      <w:rFonts w:ascii="Segoe UI" w:hAnsi="Segoe UI" w:cs="Segoe UI"/>
      <w:sz w:val="18"/>
      <w:szCs w:val="18"/>
    </w:rPr>
  </w:style>
  <w:style w:type="paragraph" w:styleId="5">
    <w:name w:val="footer"/>
    <w:basedOn w:val="1"/>
    <w:link w:val="19"/>
    <w:unhideWhenUsed/>
    <w:qFormat/>
    <w:uiPriority w:val="99"/>
    <w:pPr>
      <w:tabs>
        <w:tab w:val="center" w:pos="4320"/>
        <w:tab w:val="right" w:pos="8640"/>
      </w:tabs>
    </w:pPr>
  </w:style>
  <w:style w:type="paragraph" w:styleId="6">
    <w:name w:val="header"/>
    <w:basedOn w:val="1"/>
    <w:link w:val="18"/>
    <w:unhideWhenUsed/>
    <w:qFormat/>
    <w:uiPriority w:val="99"/>
    <w:pPr>
      <w:tabs>
        <w:tab w:val="center" w:pos="4320"/>
        <w:tab w:val="right" w:pos="8640"/>
      </w:tabs>
    </w:pPr>
  </w:style>
  <w:style w:type="paragraph" w:styleId="7">
    <w:name w:val="footnote text"/>
    <w:basedOn w:val="1"/>
    <w:link w:val="25"/>
    <w:qFormat/>
    <w:uiPriority w:val="99"/>
    <w:pPr>
      <w:snapToGrid w:val="0"/>
      <w:jc w:val="left"/>
    </w:pPr>
    <w:rPr>
      <w:rFonts w:ascii="Times New Roman" w:hAnsi="Times New Roman"/>
      <w:sz w:val="18"/>
      <w:szCs w:val="18"/>
    </w:rPr>
  </w:style>
  <w:style w:type="paragraph" w:styleId="8">
    <w:name w:val="annotation subject"/>
    <w:basedOn w:val="2"/>
    <w:next w:val="2"/>
    <w:link w:val="21"/>
    <w:semiHidden/>
    <w:unhideWhenUsed/>
    <w:qFormat/>
    <w:uiPriority w:val="99"/>
    <w:rPr>
      <w:b/>
      <w:bCs/>
    </w:rPr>
  </w:style>
  <w:style w:type="table" w:styleId="10">
    <w:name w:val="Table Grid"/>
    <w:basedOn w:val="9"/>
    <w:qFormat/>
    <w:uiPriority w:val="0"/>
    <w:rPr>
      <w:rFonts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FollowedHyperlink"/>
    <w:basedOn w:val="11"/>
    <w:semiHidden/>
    <w:unhideWhenUsed/>
    <w:qFormat/>
    <w:uiPriority w:val="99"/>
    <w:rPr>
      <w:color w:val="954F72" w:themeColor="followedHyperlink"/>
      <w:u w:val="single"/>
      <w14:textFill>
        <w14:solidFill>
          <w14:schemeClr w14:val="folHlink"/>
        </w14:solidFill>
      </w14:textFill>
    </w:rPr>
  </w:style>
  <w:style w:type="character" w:styleId="13">
    <w:name w:val="Hyperlink"/>
    <w:basedOn w:val="11"/>
    <w:unhideWhenUsed/>
    <w:qFormat/>
    <w:uiPriority w:val="99"/>
    <w:rPr>
      <w:color w:val="0000FF"/>
      <w:u w:val="single"/>
    </w:rPr>
  </w:style>
  <w:style w:type="character" w:styleId="14">
    <w:name w:val="annotation reference"/>
    <w:basedOn w:val="11"/>
    <w:semiHidden/>
    <w:unhideWhenUsed/>
    <w:qFormat/>
    <w:uiPriority w:val="99"/>
    <w:rPr>
      <w:sz w:val="16"/>
      <w:szCs w:val="16"/>
    </w:rPr>
  </w:style>
  <w:style w:type="character" w:styleId="15">
    <w:name w:val="footnote reference"/>
    <w:qFormat/>
    <w:uiPriority w:val="99"/>
    <w:rPr>
      <w:vertAlign w:val="superscript"/>
    </w:rPr>
  </w:style>
  <w:style w:type="character" w:customStyle="1" w:styleId="16">
    <w:name w:val="尾注文本 字符"/>
    <w:basedOn w:val="11"/>
    <w:link w:val="3"/>
    <w:semiHidden/>
    <w:qFormat/>
    <w:uiPriority w:val="0"/>
    <w:rPr>
      <w:rFonts w:ascii="Calibri" w:hAnsi="Calibri" w:eastAsia="宋体" w:cs="Times New Roman"/>
      <w:kern w:val="2"/>
      <w:sz w:val="21"/>
      <w:szCs w:val="22"/>
    </w:rPr>
  </w:style>
  <w:style w:type="character" w:customStyle="1" w:styleId="17">
    <w:name w:val="批注框文本 字符"/>
    <w:basedOn w:val="11"/>
    <w:link w:val="4"/>
    <w:semiHidden/>
    <w:qFormat/>
    <w:uiPriority w:val="99"/>
    <w:rPr>
      <w:rFonts w:ascii="Segoe UI" w:hAnsi="Segoe UI" w:eastAsia="宋体" w:cs="Segoe UI"/>
      <w:kern w:val="2"/>
      <w:sz w:val="18"/>
      <w:szCs w:val="18"/>
    </w:rPr>
  </w:style>
  <w:style w:type="character" w:customStyle="1" w:styleId="18">
    <w:name w:val="页眉 字符"/>
    <w:basedOn w:val="11"/>
    <w:link w:val="6"/>
    <w:qFormat/>
    <w:uiPriority w:val="99"/>
    <w:rPr>
      <w:rFonts w:ascii="Calibri" w:hAnsi="Calibri" w:eastAsia="宋体" w:cs="Times New Roman"/>
      <w:kern w:val="2"/>
      <w:sz w:val="21"/>
      <w:szCs w:val="22"/>
    </w:rPr>
  </w:style>
  <w:style w:type="character" w:customStyle="1" w:styleId="19">
    <w:name w:val="页脚 字符"/>
    <w:basedOn w:val="11"/>
    <w:link w:val="5"/>
    <w:qFormat/>
    <w:uiPriority w:val="99"/>
    <w:rPr>
      <w:rFonts w:ascii="Calibri" w:hAnsi="Calibri" w:eastAsia="宋体" w:cs="Times New Roman"/>
      <w:kern w:val="2"/>
      <w:sz w:val="21"/>
      <w:szCs w:val="22"/>
    </w:rPr>
  </w:style>
  <w:style w:type="character" w:customStyle="1" w:styleId="20">
    <w:name w:val="批注文字 字符"/>
    <w:basedOn w:val="11"/>
    <w:link w:val="2"/>
    <w:qFormat/>
    <w:uiPriority w:val="99"/>
    <w:rPr>
      <w:rFonts w:ascii="Calibri" w:hAnsi="Calibri" w:eastAsia="宋体" w:cs="Times New Roman"/>
      <w:kern w:val="2"/>
      <w:sz w:val="20"/>
      <w:szCs w:val="20"/>
    </w:rPr>
  </w:style>
  <w:style w:type="character" w:customStyle="1" w:styleId="21">
    <w:name w:val="批注主题 字符"/>
    <w:basedOn w:val="20"/>
    <w:link w:val="8"/>
    <w:semiHidden/>
    <w:qFormat/>
    <w:uiPriority w:val="99"/>
    <w:rPr>
      <w:rFonts w:ascii="Calibri" w:hAnsi="Calibri" w:eastAsia="宋体" w:cs="Times New Roman"/>
      <w:b/>
      <w:bCs/>
      <w:kern w:val="2"/>
      <w:sz w:val="20"/>
      <w:szCs w:val="20"/>
    </w:rPr>
  </w:style>
  <w:style w:type="paragraph" w:customStyle="1" w:styleId="22">
    <w:name w:val="MacPac Trailer"/>
    <w:qFormat/>
    <w:uiPriority w:val="0"/>
    <w:pPr>
      <w:widowControl w:val="0"/>
      <w:spacing w:after="160" w:line="170" w:lineRule="exact"/>
    </w:pPr>
    <w:rPr>
      <w:rFonts w:ascii="Times New Roman" w:hAnsi="Times New Roman" w:eastAsia="华文楷体" w:cs="Calibri"/>
      <w:sz w:val="14"/>
      <w:szCs w:val="22"/>
      <w:lang w:val="en-US" w:eastAsia="zh-CN" w:bidi="ar-SA"/>
    </w:rPr>
  </w:style>
  <w:style w:type="character" w:styleId="23">
    <w:name w:val="Placeholder Text"/>
    <w:basedOn w:val="11"/>
    <w:semiHidden/>
    <w:qFormat/>
    <w:uiPriority w:val="99"/>
    <w:rPr>
      <w:color w:val="808080"/>
    </w:rPr>
  </w:style>
  <w:style w:type="paragraph" w:styleId="24">
    <w:name w:val="List Paragraph"/>
    <w:basedOn w:val="1"/>
    <w:qFormat/>
    <w:uiPriority w:val="34"/>
    <w:pPr>
      <w:ind w:left="720"/>
      <w:contextualSpacing/>
    </w:pPr>
  </w:style>
  <w:style w:type="character" w:customStyle="1" w:styleId="25">
    <w:name w:val="脚注文本 字符"/>
    <w:basedOn w:val="11"/>
    <w:link w:val="7"/>
    <w:qFormat/>
    <w:uiPriority w:val="99"/>
    <w:rPr>
      <w:rFonts w:eastAsia="宋体" w:cs="Times New Roman"/>
      <w:kern w:val="2"/>
      <w:sz w:val="18"/>
      <w:szCs w:val="18"/>
    </w:rPr>
  </w:style>
  <w:style w:type="character" w:customStyle="1" w:styleId="26">
    <w:name w:val="Unresolved Mention1"/>
    <w:basedOn w:val="11"/>
    <w:semiHidden/>
    <w:unhideWhenUsed/>
    <w:qFormat/>
    <w:uiPriority w:val="99"/>
    <w:rPr>
      <w:color w:val="605E5C"/>
      <w:shd w:val="clear" w:color="auto" w:fill="E1DFDD"/>
    </w:rPr>
  </w:style>
  <w:style w:type="paragraph" w:customStyle="1" w:styleId="27">
    <w:name w:val="修订1"/>
    <w:hidden/>
    <w:semiHidden/>
    <w:qFormat/>
    <w:uiPriority w:val="99"/>
    <w:rPr>
      <w:rFonts w:ascii="Calibri" w:hAnsi="Calibri" w:eastAsia="宋体" w:cs="Times New Roman"/>
      <w:kern w:val="2"/>
      <w:sz w:val="21"/>
      <w:szCs w:val="22"/>
      <w:lang w:val="en-US" w:eastAsia="zh-CN" w:bidi="ar-SA"/>
    </w:rPr>
  </w:style>
  <w:style w:type="paragraph" w:customStyle="1" w:styleId="28">
    <w:name w:val="Revision"/>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FreshfieldsBruckhausDeringer</Company>
  <Pages>1</Pages>
  <Words>144</Words>
  <Characters>825</Characters>
  <Lines>6</Lines>
  <Paragraphs>1</Paragraphs>
  <TotalTime>4</TotalTime>
  <ScaleCrop>false</ScaleCrop>
  <LinksUpToDate>false</LinksUpToDate>
  <CharactersWithSpaces>968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2024-03-29T11:11:00Z</dcterms:created>
  <dc:creator>Freshfields Bruckhaus Deringer</dc:creator>
  <cp:lastModifiedBy>scjgj</cp:lastModifiedBy>
  <dcterms:modified xsi:type="dcterms:W3CDTF">2024-04-04T03:33:07Z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vt:lpwstr>
  </property>
  <property fmtid="{D5CDD505-2E9C-101B-9397-08002B2CF9AE}" pid="3" name="docVersion">
    <vt:lpwstr>0</vt:lpwstr>
  </property>
  <property fmtid="{D5CDD505-2E9C-101B-9397-08002B2CF9AE}" pid="4" name="docCliMat">
    <vt:lpwstr/>
  </property>
  <property fmtid="{D5CDD505-2E9C-101B-9397-08002B2CF9AE}" pid="5" name="docIncludeCliMat">
    <vt:lpwstr>true</vt:lpwstr>
  </property>
  <property fmtid="{D5CDD505-2E9C-101B-9397-08002B2CF9AE}" pid="6" name="docIncludeVersion">
    <vt:lpwstr>true</vt:lpwstr>
  </property>
  <property fmtid="{D5CDD505-2E9C-101B-9397-08002B2CF9AE}" pid="7" name="MSIP_Label_cbd44c7d-620d-47a0-b6d1-13ac1e5903bc_Enabled">
    <vt:lpwstr>true</vt:lpwstr>
  </property>
  <property fmtid="{D5CDD505-2E9C-101B-9397-08002B2CF9AE}" pid="8" name="MSIP_Label_cbd44c7d-620d-47a0-b6d1-13ac1e5903bc_SetDate">
    <vt:lpwstr>2022-02-15T01:10:47Z</vt:lpwstr>
  </property>
  <property fmtid="{D5CDD505-2E9C-101B-9397-08002B2CF9AE}" pid="9" name="MSIP_Label_cbd44c7d-620d-47a0-b6d1-13ac1e5903bc_Method">
    <vt:lpwstr>Standard</vt:lpwstr>
  </property>
  <property fmtid="{D5CDD505-2E9C-101B-9397-08002B2CF9AE}" pid="10" name="MSIP_Label_cbd44c7d-620d-47a0-b6d1-13ac1e5903bc_Name">
    <vt:lpwstr>Privilégiée - Pilote Affaires Juridiques</vt:lpwstr>
  </property>
  <property fmtid="{D5CDD505-2E9C-101B-9397-08002B2CF9AE}" pid="11" name="MSIP_Label_cbd44c7d-620d-47a0-b6d1-13ac1e5903bc_SiteId">
    <vt:lpwstr>0bdbe027-8f50-4ec3-843f-e27c41a63957</vt:lpwstr>
  </property>
  <property fmtid="{D5CDD505-2E9C-101B-9397-08002B2CF9AE}" pid="12" name="MSIP_Label_cbd44c7d-620d-47a0-b6d1-13ac1e5903bc_ActionId">
    <vt:lpwstr>deb58a57-db4c-44a1-8db5-c351775d4904</vt:lpwstr>
  </property>
  <property fmtid="{D5CDD505-2E9C-101B-9397-08002B2CF9AE}" pid="13" name="MSIP_Label_cbd44c7d-620d-47a0-b6d1-13ac1e5903bc_ContentBits">
    <vt:lpwstr>0</vt:lpwstr>
  </property>
  <property fmtid="{D5CDD505-2E9C-101B-9397-08002B2CF9AE}" pid="14" name="MSIP_Label_defa4170-0d19-0005-0004-bc88714345d2_Enabled">
    <vt:lpwstr>true</vt:lpwstr>
  </property>
  <property fmtid="{D5CDD505-2E9C-101B-9397-08002B2CF9AE}" pid="15" name="MSIP_Label_defa4170-0d19-0005-0004-bc88714345d2_SetDate">
    <vt:lpwstr>2022-09-27T04:47:23Z</vt:lpwstr>
  </property>
  <property fmtid="{D5CDD505-2E9C-101B-9397-08002B2CF9AE}" pid="16" name="MSIP_Label_defa4170-0d19-0005-0004-bc88714345d2_Method">
    <vt:lpwstr>Standard</vt:lpwstr>
  </property>
  <property fmtid="{D5CDD505-2E9C-101B-9397-08002B2CF9AE}" pid="17" name="MSIP_Label_defa4170-0d19-0005-0004-bc88714345d2_Name">
    <vt:lpwstr>defa4170-0d19-0005-0004-bc88714345d2</vt:lpwstr>
  </property>
  <property fmtid="{D5CDD505-2E9C-101B-9397-08002B2CF9AE}" pid="18" name="MSIP_Label_defa4170-0d19-0005-0004-bc88714345d2_SiteId">
    <vt:lpwstr>72cc5fdb-a93d-45a1-af73-3d9fe980f90f</vt:lpwstr>
  </property>
  <property fmtid="{D5CDD505-2E9C-101B-9397-08002B2CF9AE}" pid="19" name="MSIP_Label_defa4170-0d19-0005-0004-bc88714345d2_ActionId">
    <vt:lpwstr>81417ff5-279c-4b8e-bb40-8e927cba6698</vt:lpwstr>
  </property>
  <property fmtid="{D5CDD505-2E9C-101B-9397-08002B2CF9AE}" pid="20" name="MSIP_Label_defa4170-0d19-0005-0004-bc88714345d2_ContentBits">
    <vt:lpwstr>0</vt:lpwstr>
  </property>
  <property fmtid="{D5CDD505-2E9C-101B-9397-08002B2CF9AE}" pid="21" name="ContentTypeId">
    <vt:lpwstr>0x010100BEF7B70C4AB7804C914BB3815B62750E</vt:lpwstr>
  </property>
  <property fmtid="{D5CDD505-2E9C-101B-9397-08002B2CF9AE}" pid="22" name="MediaServiceImageTags">
    <vt:lpwstr/>
  </property>
  <property fmtid="{D5CDD505-2E9C-101B-9397-08002B2CF9AE}" pid="23" name="KSOProductBuildVer">
    <vt:lpwstr>2052-11.8.2.10125</vt:lpwstr>
  </property>
  <property fmtid="{D5CDD505-2E9C-101B-9397-08002B2CF9AE}" pid="24" name="ICV">
    <vt:lpwstr>D3BB6162B9EA5BDD2C1CFD654935CC4F_42</vt:lpwstr>
  </property>
</Properties>
</file>