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rPr>
          <w:rFonts w:hint="default" w:ascii="Times New Roman" w:hAnsi="Times New Roman" w:eastAsia="黑体" w:cs="Times New Roman"/>
          <w:bCs/>
          <w:kern w:val="0"/>
          <w:sz w:val="36"/>
          <w:szCs w:val="36"/>
          <w:lang w:val="en-GB" w:bidi="ar-AE"/>
        </w:rPr>
      </w:pP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Style w:val="4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广州国聚创业投资有限公司与阿斯利康医药（广州）有限公司等经营者新设合营企业案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广州国聚创业投资有限公司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（“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国聚创投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”）、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阿斯利康医药（广州）有限公司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（“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阿斯利康广州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”）、广州国际生物岛集团有限公司（“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生物岛公司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”）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、广州生物岛产业投资基金合伙企业（有限合伙）（“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生物岛基金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”）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等经营者签署《合伙协议》，拟共同新设一家合营企业。合营企业将主要从事私募股权投资基金业务。交易后，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国聚创投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、阿斯利康广州将分别持有合营企业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%、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19.8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%的合伙份额，并共同控制合营企业。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参与集中的经营者简介（每个限100字以内）</w:t>
            </w:r>
          </w:p>
        </w:tc>
        <w:tc>
          <w:tcPr>
            <w:tcW w:w="1607" w:type="dxa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国聚创投</w:t>
            </w:r>
          </w:p>
        </w:tc>
        <w:tc>
          <w:tcPr>
            <w:tcW w:w="6093" w:type="dxa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国聚创投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于2015年1月29日成立于中国广东省广州市，主要从事私募股权投资基金管理业务。</w:t>
            </w:r>
          </w:p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国聚创投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的最终控制人为广州高新区投资集团有限公司（“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高新区投资集团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”），主要从事房地产开发经营、房屋建筑工程施工、房屋租赁、自有房地产经营活动、物业管理、投资咨询服务等业务。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阿斯利康广州</w:t>
            </w:r>
          </w:p>
        </w:tc>
        <w:tc>
          <w:tcPr>
            <w:tcW w:w="6093" w:type="dxa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阿斯利康广州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于2002年9月4日成立于中国广东省广州市，主要从事信息咨询服务（不含许可类信息咨询服务）、信息技术咨询服务、药品销售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业务。</w:t>
            </w:r>
          </w:p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阿斯利康广州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的</w:t>
            </w:r>
            <w:r>
              <w:rPr>
                <w:rFonts w:hint="eastAsia" w:ascii="宋体" w:hAnsi="宋体" w:cs="宋体"/>
                <w:szCs w:val="21"/>
                <w:lang w:bidi="ar"/>
              </w:rPr>
              <w:t>最终控制人为AstraZeneca PLC，主要从事呼吸、心血管、代谢、肿瘤、消化、肾脏疾病等领域创新药物</w:t>
            </w:r>
            <w:r>
              <w:rPr>
                <w:rFonts w:hint="eastAsia" w:ascii="宋体" w:hAnsi="宋体" w:cs="宋体"/>
                <w:szCs w:val="21"/>
                <w:lang w:val="en-US" w:eastAsia="zh-CN" w:bidi="ar"/>
              </w:rPr>
              <w:t>的研发等业务</w:t>
            </w:r>
            <w:r>
              <w:rPr>
                <w:rFonts w:hint="eastAsia" w:ascii="宋体" w:hAnsi="宋体" w:cs="宋体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sym w:font="Wingdings" w:char="00FE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横向重叠：</w:t>
            </w:r>
          </w:p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202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年中国境内私募股权投资基金市场：</w:t>
            </w:r>
          </w:p>
          <w:p>
            <w:pPr>
              <w:pStyle w:val="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国聚创投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：0-5%，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阿斯利康广州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：0-5%，合营企业（预计）：0-5%，各方合计：0-5%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23402"/>
    <w:rsid w:val="7032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2024-03-29T01:18:00Z</dcterms:created>
  <dc:creator>胡翌婧</dc:creator>
  <cp:lastModifiedBy>胡翌婧</cp:lastModifiedBy>
  <dcterms:modified xsi:type="dcterms:W3CDTF">2024-03-29T01:18:57Z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C7C600D192A74450B4F51FB1F2C8BC35</vt:lpwstr>
  </property>
</Properties>
</file>