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6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/>
              </w:rPr>
            </w:pPr>
            <w:r>
              <w:rPr>
                <w:rFonts w:cs="Times New Roman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color w:val="000000"/>
                <w:lang w:val="en-US"/>
              </w:rPr>
            </w:pPr>
            <w:r>
              <w:rPr>
                <w:rFonts w:hint="eastAsia"/>
                <w:color w:val="000000"/>
                <w:lang w:val="en-US"/>
              </w:rPr>
              <w:t>杭州三隆新材料有限公司</w:t>
            </w:r>
            <w:r>
              <w:rPr>
                <w:rFonts w:hint="eastAsia"/>
                <w:bCs/>
                <w:color w:val="000000"/>
                <w:lang w:val="en-US"/>
              </w:rPr>
              <w:t>收购杭州</w:t>
            </w:r>
            <w:r>
              <w:rPr>
                <w:rFonts w:hint="eastAsia"/>
                <w:color w:val="000000"/>
                <w:lang w:val="en-US"/>
              </w:rPr>
              <w:t>旭化成</w:t>
            </w:r>
            <w:r>
              <w:rPr>
                <w:rFonts w:hint="eastAsia"/>
                <w:bCs/>
                <w:color w:val="000000"/>
                <w:lang w:val="en-US"/>
              </w:rPr>
              <w:t>氨纶</w:t>
            </w:r>
            <w:r>
              <w:rPr>
                <w:rFonts w:hint="eastAsia"/>
                <w:color w:val="000000"/>
                <w:lang w:val="en-US"/>
              </w:rPr>
              <w:t>有限公司</w:t>
            </w:r>
            <w:r>
              <w:rPr>
                <w:rFonts w:hint="eastAsia"/>
                <w:bCs/>
                <w:color w:val="000000"/>
                <w:lang w:val="en-US"/>
              </w:rPr>
              <w:t>业务</w:t>
            </w:r>
            <w:r>
              <w:rPr>
                <w:rFonts w:hint="eastAsia"/>
                <w:color w:val="000000"/>
                <w:lang w:val="en-US"/>
              </w:rPr>
              <w:t>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1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杭州三隆新材料有限公司（“</w:t>
            </w:r>
            <w:r>
              <w:rPr>
                <w:rFonts w:hint="eastAsia"/>
                <w:b/>
                <w:bCs/>
                <w:color w:val="000000"/>
                <w:lang w:val="en-US"/>
              </w:rPr>
              <w:t>三隆</w:t>
            </w:r>
            <w:r>
              <w:rPr>
                <w:rFonts w:hint="eastAsia"/>
                <w:bCs/>
                <w:color w:val="000000"/>
                <w:lang w:val="en-US"/>
              </w:rPr>
              <w:t>”）拟通过杭州旭云氨纶有限公司（“</w:t>
            </w:r>
            <w:r>
              <w:rPr>
                <w:rFonts w:hint="eastAsia"/>
                <w:b/>
                <w:bCs/>
                <w:color w:val="000000"/>
                <w:lang w:val="en-US"/>
              </w:rPr>
              <w:t>杭州旭云</w:t>
            </w:r>
            <w:r>
              <w:rPr>
                <w:rFonts w:hint="eastAsia"/>
                <w:bCs/>
                <w:color w:val="000000"/>
                <w:lang w:val="en-US"/>
              </w:rPr>
              <w:t>）收购杭州旭化成氨纶有限公司的氨纶纤维生产和销售业务（“</w:t>
            </w:r>
            <w:r>
              <w:rPr>
                <w:rFonts w:hint="eastAsia"/>
                <w:b/>
                <w:bCs/>
                <w:color w:val="000000"/>
                <w:lang w:val="en-US"/>
              </w:rPr>
              <w:t>目标业务</w:t>
            </w:r>
            <w:r>
              <w:rPr>
                <w:rFonts w:hint="eastAsia"/>
                <w:bCs/>
                <w:color w:val="000000"/>
                <w:lang w:val="en-US"/>
              </w:rPr>
              <w:t>”）。交易前，目标业务由旭化成（中国）投资有限公司（“</w:t>
            </w:r>
            <w:r>
              <w:rPr>
                <w:rFonts w:hint="eastAsia"/>
                <w:b/>
                <w:bCs/>
                <w:color w:val="000000"/>
                <w:lang w:val="en-US"/>
              </w:rPr>
              <w:t>旭化成中国</w:t>
            </w:r>
            <w:r>
              <w:rPr>
                <w:rFonts w:hint="eastAsia"/>
                <w:bCs/>
                <w:color w:val="000000"/>
                <w:lang w:val="en-US"/>
              </w:rPr>
              <w:t>”）全资持有并单独控制。</w:t>
            </w:r>
            <w:r>
              <w:rPr>
                <w:rFonts w:hint="eastAsia"/>
                <w:color w:val="000000"/>
                <w:lang w:val="en-US"/>
              </w:rPr>
              <w:t>交易后，</w:t>
            </w:r>
            <w:r>
              <w:rPr>
                <w:rFonts w:hint="eastAsia"/>
                <w:bCs/>
                <w:color w:val="000000"/>
                <w:lang w:val="en-US"/>
              </w:rPr>
              <w:t>目标业务</w:t>
            </w:r>
            <w:r>
              <w:rPr>
                <w:rFonts w:hint="eastAsia"/>
                <w:color w:val="000000"/>
                <w:lang w:val="en-US"/>
              </w:rPr>
              <w:t>将由三隆和旭化成中国</w:t>
            </w:r>
            <w:r>
              <w:rPr>
                <w:rFonts w:hint="eastAsia"/>
                <w:bCs/>
                <w:color w:val="000000"/>
                <w:lang w:val="en-US"/>
              </w:rPr>
              <w:t>间接通过杭州旭云</w:t>
            </w:r>
            <w:r>
              <w:rPr>
                <w:rFonts w:hint="eastAsia"/>
                <w:color w:val="000000"/>
                <w:lang w:val="en-US"/>
              </w:rPr>
              <w:t>共同控制。此外，三隆收购目标业务的前述交易与旭化成中国取得杭州旭云33.4%股权的交易不可分割，交易前杭州旭云由三隆全资持有并单独控制，交易后，三隆和旭化成中国将分别持有杭州旭云6</w:t>
            </w:r>
            <w:r>
              <w:rPr>
                <w:color w:val="000000"/>
                <w:lang w:val="en-US"/>
              </w:rPr>
              <w:t>6.6</w:t>
            </w:r>
            <w:r>
              <w:rPr>
                <w:rFonts w:hint="eastAsia"/>
                <w:color w:val="000000"/>
                <w:lang w:val="en-US"/>
              </w:rPr>
              <w:t>%和3</w:t>
            </w:r>
            <w:r>
              <w:rPr>
                <w:color w:val="000000"/>
                <w:lang w:val="en-US"/>
              </w:rPr>
              <w:t>3.4</w:t>
            </w:r>
            <w:r>
              <w:rPr>
                <w:rFonts w:hint="eastAsia"/>
                <w:color w:val="000000"/>
                <w:lang w:val="en-US"/>
              </w:rPr>
              <w:t>%的股权</w:t>
            </w:r>
            <w:r>
              <w:rPr>
                <w:rFonts w:hint="eastAsia"/>
                <w:color w:val="000000"/>
                <w:lang w:val="en-US" w:eastAsia="zh-CN"/>
              </w:rPr>
              <w:t>，</w:t>
            </w:r>
            <w:r>
              <w:rPr>
                <w:rFonts w:hint="eastAsia"/>
                <w:color w:val="000000"/>
                <w:lang w:val="en-US"/>
              </w:rPr>
              <w:t>并共同控制杭州旭云。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cs="Times New Roman"/>
                <w:bCs/>
                <w:color w:val="000000"/>
                <w:lang w:val="en-US" w:eastAsia="zh-CN"/>
              </w:rPr>
              <w:t>100字以内</w:t>
            </w:r>
            <w:r>
              <w:rPr>
                <w:rFonts w:cs="Times New Roman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1.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cs="Times New Roman"/>
                <w:lang w:eastAsia="zh-CN"/>
              </w:rPr>
              <w:t>三隆</w:t>
            </w:r>
          </w:p>
        </w:tc>
        <w:tc>
          <w:tcPr>
            <w:tcW w:w="6093" w:type="dxa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bCs/>
                <w:color w:val="000000"/>
                <w:shd w:val="pct10" w:color="auto" w:fill="FFFFFF"/>
                <w:lang w:bidi="en-US"/>
              </w:rPr>
            </w:pPr>
            <w:r>
              <w:rPr>
                <w:rFonts w:hint="eastAsia"/>
                <w:bCs/>
                <w:color w:val="000000"/>
              </w:rPr>
              <w:t>三隆</w:t>
            </w:r>
            <w:r>
              <w:rPr>
                <w:bCs/>
                <w:color w:val="000000"/>
              </w:rPr>
              <w:t>于</w:t>
            </w:r>
            <w:r>
              <w:rPr>
                <w:rFonts w:hint="eastAsia"/>
                <w:bCs/>
                <w:color w:val="000000"/>
                <w:lang w:bidi="en-US"/>
              </w:rPr>
              <w:t>2008年6月13日</w:t>
            </w:r>
            <w:r>
              <w:rPr>
                <w:bCs/>
                <w:color w:val="000000"/>
                <w:lang w:bidi="en-US"/>
              </w:rPr>
              <w:t>成立于</w:t>
            </w:r>
            <w:r>
              <w:rPr>
                <w:rFonts w:hint="eastAsia"/>
                <w:bCs/>
                <w:color w:val="000000"/>
                <w:lang w:bidi="en-US"/>
              </w:rPr>
              <w:t>浙江省杭州市</w:t>
            </w:r>
            <w:r>
              <w:rPr>
                <w:bCs/>
                <w:color w:val="000000"/>
                <w:lang w:bidi="en-US"/>
              </w:rPr>
              <w:t>，</w:t>
            </w:r>
            <w:r>
              <w:rPr>
                <w:rFonts w:hint="eastAsia"/>
                <w:bCs/>
                <w:color w:val="000000"/>
                <w:lang w:bidi="en-US"/>
              </w:rPr>
              <w:t>主要业务为聚四亚甲基醚二醇（PTMEG）和四氢呋喃（THF）的生产和销售。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lang w:val="en-US"/>
              </w:rPr>
            </w:pPr>
            <w:r>
              <w:rPr>
                <w:rFonts w:hint="eastAsia"/>
                <w:bCs/>
                <w:color w:val="000000"/>
              </w:rPr>
              <w:t>三隆</w:t>
            </w:r>
            <w:r>
              <w:rPr>
                <w:bCs/>
                <w:color w:val="000000"/>
              </w:rPr>
              <w:t>的最终控制人为</w:t>
            </w:r>
            <w:r>
              <w:rPr>
                <w:rFonts w:hint="eastAsia"/>
                <w:bCs/>
                <w:color w:val="000000"/>
                <w:lang w:val="en-US" w:bidi="en-US"/>
              </w:rPr>
              <w:t>自然人，该自然人主要通过杭州青云控股集团有限公司（“青云集团”）从事化工、化纤产品及特种铸钢件等生产经营业务</w:t>
            </w:r>
            <w:r>
              <w:rPr>
                <w:bCs/>
                <w:color w:val="000000"/>
                <w:lang w:val="en-US"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2.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 w:cs="Times New Roman"/>
                <w:lang w:eastAsia="zh-CN"/>
              </w:rPr>
              <w:t>旭化成中国</w:t>
            </w:r>
          </w:p>
        </w:tc>
        <w:tc>
          <w:tcPr>
            <w:tcW w:w="6093" w:type="dxa"/>
            <w:vAlign w:val="center"/>
          </w:tcPr>
          <w:p>
            <w:pPr>
              <w:adjustRightInd w:val="0"/>
              <w:snapToGrid w:val="0"/>
              <w:spacing w:after="0"/>
              <w:rPr>
                <w:bCs/>
                <w:color w:val="000000"/>
                <w:lang w:val="en-US"/>
              </w:rPr>
            </w:pPr>
            <w:r>
              <w:rPr>
                <w:rFonts w:hint="eastAsia"/>
                <w:bCs/>
                <w:color w:val="000000"/>
                <w:lang w:val="en-US"/>
              </w:rPr>
              <w:t>旭化成中国</w:t>
            </w:r>
            <w:r>
              <w:rPr>
                <w:bCs/>
                <w:color w:val="000000"/>
                <w:lang w:val="en-US"/>
              </w:rPr>
              <w:t>于</w:t>
            </w:r>
            <w:r>
              <w:rPr>
                <w:rFonts w:hint="eastAsia"/>
                <w:bCs/>
                <w:color w:val="000000"/>
                <w:lang w:val="en-US"/>
              </w:rPr>
              <w:t>2007年1月12日</w:t>
            </w:r>
            <w:r>
              <w:rPr>
                <w:bCs/>
                <w:color w:val="000000"/>
                <w:lang w:bidi="en-US"/>
              </w:rPr>
              <w:t>成立于</w:t>
            </w:r>
            <w:r>
              <w:rPr>
                <w:rFonts w:hint="eastAsia"/>
                <w:bCs/>
                <w:color w:val="000000"/>
                <w:lang w:bidi="en-US"/>
              </w:rPr>
              <w:t>上海市</w:t>
            </w:r>
            <w:r>
              <w:rPr>
                <w:bCs/>
                <w:color w:val="000000"/>
                <w:lang w:bidi="en-US"/>
              </w:rPr>
              <w:t>，</w:t>
            </w:r>
            <w:r>
              <w:rPr>
                <w:rFonts w:hint="eastAsia"/>
                <w:bCs/>
                <w:color w:val="000000"/>
                <w:lang w:bidi="en-US"/>
              </w:rPr>
              <w:t>主要在中国境内从事材料领域的投资业务及集团内部事业支援职能。</w:t>
            </w:r>
          </w:p>
          <w:p>
            <w:pPr>
              <w:adjustRightInd w:val="0"/>
              <w:snapToGrid w:val="0"/>
              <w:spacing w:after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  <w:lang w:bidi="en-US"/>
              </w:rPr>
              <w:t>旭化成中国的最终控制人为旭化成株式会社，旭化成株式会社主要在材料、住宅和健康三大领域从事业务</w:t>
            </w:r>
            <w:r>
              <w:rPr>
                <w:bCs/>
                <w:color w:val="000000"/>
                <w:lang w:val="en-US" w:bidi="en-US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0" w:hRule="atLeast"/>
        </w:trPr>
        <w:tc>
          <w:tcPr>
            <w:tcW w:w="1940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val="en-US" w:eastAsia="zh-CN"/>
              </w:rPr>
            </w:pPr>
            <w:r>
              <w:rPr>
                <w:rFonts w:cs="Times New Roman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lang w:eastAsia="zh-CN"/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2022年中国境内氨纶纤维市场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三隆：</w:t>
            </w:r>
            <w:r>
              <w:rPr>
                <w:rFonts w:cs="Times New Roman"/>
                <w:bCs/>
                <w:color w:val="000000"/>
                <w:lang w:eastAsia="zh-CN"/>
              </w:rPr>
              <w:t>[0-5]%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；旭化成中国:</w:t>
            </w:r>
            <w:r>
              <w:rPr>
                <w:rFonts w:cs="Times New Roman"/>
                <w:bCs/>
                <w:color w:val="000000"/>
                <w:lang w:eastAsia="zh-CN"/>
              </w:rPr>
              <w:t xml:space="preserve"> [0-5]%; 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各方合计：</w:t>
            </w:r>
            <w:r>
              <w:rPr>
                <w:rFonts w:cs="Times New Roman"/>
                <w:bCs/>
                <w:color w:val="000000"/>
                <w:lang w:eastAsia="zh-CN"/>
              </w:rPr>
              <w:t>[5</w:t>
            </w:r>
            <w:r>
              <w:rPr>
                <w:rFonts w:hint="eastAsia" w:cs="Times New Roman"/>
                <w:bCs/>
                <w:color w:val="000000"/>
                <w:lang w:eastAsia="zh-CN"/>
              </w:rPr>
              <w:t>-</w:t>
            </w:r>
            <w:r>
              <w:rPr>
                <w:rFonts w:cs="Times New Roman"/>
                <w:bCs/>
                <w:color w:val="000000"/>
                <w:lang w:eastAsia="zh-CN"/>
              </w:rPr>
              <w:t>10]%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000000"/>
                <w:lang w:eastAsia="zh-CN"/>
              </w:rPr>
              <w:t>纵向关联：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上游：2022年中国境内PTMEG市场：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三隆：</w:t>
            </w:r>
            <w:r>
              <w:rPr>
                <w:rFonts w:cs="Times New Roman"/>
                <w:bCs/>
                <w:color w:val="000000"/>
                <w:lang w:eastAsia="zh-CN"/>
              </w:rPr>
              <w:t>[5-10]%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下游：2022年中国境内氨纶纤维市场：</w:t>
            </w:r>
            <w:bookmarkStart w:id="0" w:name="_GoBack"/>
            <w:bookmarkEnd w:id="0"/>
          </w:p>
          <w:p>
            <w:pPr>
              <w:pStyle w:val="5"/>
              <w:adjustRightInd w:val="0"/>
              <w:snapToGrid w:val="0"/>
              <w:spacing w:after="0"/>
              <w:rPr>
                <w:rFonts w:cs="Times New Roman"/>
                <w:bCs/>
                <w:color w:val="000000"/>
                <w:lang w:eastAsia="zh-CN"/>
              </w:rPr>
            </w:pPr>
            <w:r>
              <w:rPr>
                <w:rFonts w:hint="eastAsia" w:cs="Times New Roman"/>
                <w:bCs/>
                <w:color w:val="000000"/>
                <w:lang w:eastAsia="zh-CN"/>
              </w:rPr>
              <w:t>如上所述</w:t>
            </w:r>
          </w:p>
        </w:tc>
      </w:tr>
    </w:tbl>
    <w:p>
      <w:pPr>
        <w:pStyle w:val="5"/>
        <w:adjustRightInd w:val="0"/>
        <w:snapToGrid w:val="0"/>
        <w:spacing w:after="0"/>
        <w:rPr>
          <w:rFonts w:eastAsia="等线" w:cs="Times New Roman"/>
          <w:b/>
          <w:color w:val="000000"/>
          <w:sz w:val="22"/>
          <w:szCs w:val="22"/>
          <w:lang w:eastAsia="zh-CN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DejaVu Sans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c>
        <w:tcPr>
          <w:tcW w:w="3080" w:type="dxa"/>
        </w:tcPr>
        <w:p>
          <w:pPr>
            <w:pStyle w:val="46"/>
          </w:pPr>
        </w:p>
      </w:tc>
      <w:tc>
        <w:tcPr>
          <w:tcW w:w="3081" w:type="dxa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lang w:val="zh-CN"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</w:tcPr>
        <w:p>
          <w:pPr>
            <w:pStyle w:val="253"/>
          </w:pPr>
        </w:p>
      </w:tc>
    </w:tr>
  </w:tbl>
  <w:p>
    <w:pPr>
      <w:pStyle w:val="4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24FF"/>
    <w:rsid w:val="000027BD"/>
    <w:rsid w:val="000146F5"/>
    <w:rsid w:val="000150B7"/>
    <w:rsid w:val="00021AB2"/>
    <w:rsid w:val="000326C8"/>
    <w:rsid w:val="00041C40"/>
    <w:rsid w:val="0004292A"/>
    <w:rsid w:val="000467AA"/>
    <w:rsid w:val="00062616"/>
    <w:rsid w:val="00073E6B"/>
    <w:rsid w:val="0007723F"/>
    <w:rsid w:val="00077D60"/>
    <w:rsid w:val="00083590"/>
    <w:rsid w:val="00092F4E"/>
    <w:rsid w:val="00096F2F"/>
    <w:rsid w:val="000B58E5"/>
    <w:rsid w:val="000B653C"/>
    <w:rsid w:val="000B7ACA"/>
    <w:rsid w:val="000C6953"/>
    <w:rsid w:val="000E29A9"/>
    <w:rsid w:val="000E3A81"/>
    <w:rsid w:val="00107E19"/>
    <w:rsid w:val="00115F62"/>
    <w:rsid w:val="00123E26"/>
    <w:rsid w:val="00145B05"/>
    <w:rsid w:val="001639D8"/>
    <w:rsid w:val="00186A05"/>
    <w:rsid w:val="001965E2"/>
    <w:rsid w:val="001A51AB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4585F"/>
    <w:rsid w:val="00250E61"/>
    <w:rsid w:val="00253716"/>
    <w:rsid w:val="00261F94"/>
    <w:rsid w:val="00267941"/>
    <w:rsid w:val="00280BF3"/>
    <w:rsid w:val="00283517"/>
    <w:rsid w:val="00287E91"/>
    <w:rsid w:val="00291652"/>
    <w:rsid w:val="002964A1"/>
    <w:rsid w:val="002A25F2"/>
    <w:rsid w:val="002A34A3"/>
    <w:rsid w:val="002A7C26"/>
    <w:rsid w:val="002B2A51"/>
    <w:rsid w:val="002D589D"/>
    <w:rsid w:val="002F09A7"/>
    <w:rsid w:val="002F5271"/>
    <w:rsid w:val="00306B88"/>
    <w:rsid w:val="00310488"/>
    <w:rsid w:val="00311263"/>
    <w:rsid w:val="0034107F"/>
    <w:rsid w:val="00344D27"/>
    <w:rsid w:val="00346F0B"/>
    <w:rsid w:val="0035604C"/>
    <w:rsid w:val="00371332"/>
    <w:rsid w:val="003850D4"/>
    <w:rsid w:val="00385F00"/>
    <w:rsid w:val="003866EF"/>
    <w:rsid w:val="003A4565"/>
    <w:rsid w:val="003B27EC"/>
    <w:rsid w:val="003B2F86"/>
    <w:rsid w:val="003B4439"/>
    <w:rsid w:val="003B4C9E"/>
    <w:rsid w:val="003B629B"/>
    <w:rsid w:val="003B7CBC"/>
    <w:rsid w:val="003C3456"/>
    <w:rsid w:val="003D2E76"/>
    <w:rsid w:val="003E3B57"/>
    <w:rsid w:val="003E73DB"/>
    <w:rsid w:val="0040390D"/>
    <w:rsid w:val="00410914"/>
    <w:rsid w:val="004119F5"/>
    <w:rsid w:val="004166B2"/>
    <w:rsid w:val="004203EF"/>
    <w:rsid w:val="00427E52"/>
    <w:rsid w:val="00446353"/>
    <w:rsid w:val="0044739B"/>
    <w:rsid w:val="00467A6B"/>
    <w:rsid w:val="004767B7"/>
    <w:rsid w:val="0049707A"/>
    <w:rsid w:val="004973DB"/>
    <w:rsid w:val="0049771A"/>
    <w:rsid w:val="004A4BF1"/>
    <w:rsid w:val="004C3420"/>
    <w:rsid w:val="004D018B"/>
    <w:rsid w:val="004D0464"/>
    <w:rsid w:val="004D124C"/>
    <w:rsid w:val="004D4435"/>
    <w:rsid w:val="004D5B6C"/>
    <w:rsid w:val="00504779"/>
    <w:rsid w:val="00512A53"/>
    <w:rsid w:val="00513E6B"/>
    <w:rsid w:val="005202EA"/>
    <w:rsid w:val="00523905"/>
    <w:rsid w:val="005251B9"/>
    <w:rsid w:val="00530BB4"/>
    <w:rsid w:val="00545A47"/>
    <w:rsid w:val="0057200D"/>
    <w:rsid w:val="00591CEC"/>
    <w:rsid w:val="00593EBB"/>
    <w:rsid w:val="005B0CEB"/>
    <w:rsid w:val="005B18A3"/>
    <w:rsid w:val="005B4B0F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45B6A"/>
    <w:rsid w:val="006501DC"/>
    <w:rsid w:val="00655225"/>
    <w:rsid w:val="00664174"/>
    <w:rsid w:val="006643EA"/>
    <w:rsid w:val="0067348D"/>
    <w:rsid w:val="006745A9"/>
    <w:rsid w:val="00682729"/>
    <w:rsid w:val="006865C5"/>
    <w:rsid w:val="006B4541"/>
    <w:rsid w:val="006D1E2B"/>
    <w:rsid w:val="006D3BB7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52F1"/>
    <w:rsid w:val="00726B19"/>
    <w:rsid w:val="00727BD0"/>
    <w:rsid w:val="0073302C"/>
    <w:rsid w:val="007373F0"/>
    <w:rsid w:val="00742AFE"/>
    <w:rsid w:val="00742EDF"/>
    <w:rsid w:val="007452C4"/>
    <w:rsid w:val="00751420"/>
    <w:rsid w:val="007576EC"/>
    <w:rsid w:val="007674D7"/>
    <w:rsid w:val="0076797B"/>
    <w:rsid w:val="00772298"/>
    <w:rsid w:val="00772A49"/>
    <w:rsid w:val="007852EC"/>
    <w:rsid w:val="00794062"/>
    <w:rsid w:val="007949C1"/>
    <w:rsid w:val="00797584"/>
    <w:rsid w:val="007A2D94"/>
    <w:rsid w:val="007B651A"/>
    <w:rsid w:val="007B6ED8"/>
    <w:rsid w:val="007B75E4"/>
    <w:rsid w:val="007C26DE"/>
    <w:rsid w:val="007E2608"/>
    <w:rsid w:val="007F1726"/>
    <w:rsid w:val="0080200E"/>
    <w:rsid w:val="00803A33"/>
    <w:rsid w:val="008051ED"/>
    <w:rsid w:val="00811540"/>
    <w:rsid w:val="00811775"/>
    <w:rsid w:val="0082324C"/>
    <w:rsid w:val="008248B2"/>
    <w:rsid w:val="00834D88"/>
    <w:rsid w:val="00841652"/>
    <w:rsid w:val="00864085"/>
    <w:rsid w:val="008803D0"/>
    <w:rsid w:val="00880F24"/>
    <w:rsid w:val="008836AF"/>
    <w:rsid w:val="00885C9B"/>
    <w:rsid w:val="00893879"/>
    <w:rsid w:val="008A0E50"/>
    <w:rsid w:val="008A3B8E"/>
    <w:rsid w:val="008B2172"/>
    <w:rsid w:val="008D4ED8"/>
    <w:rsid w:val="008D644E"/>
    <w:rsid w:val="008E5BCA"/>
    <w:rsid w:val="008E60A7"/>
    <w:rsid w:val="009022B0"/>
    <w:rsid w:val="00905F4A"/>
    <w:rsid w:val="00913ED7"/>
    <w:rsid w:val="009145E4"/>
    <w:rsid w:val="009301D9"/>
    <w:rsid w:val="00930704"/>
    <w:rsid w:val="0094346F"/>
    <w:rsid w:val="00953187"/>
    <w:rsid w:val="009551E9"/>
    <w:rsid w:val="0096333E"/>
    <w:rsid w:val="009668EC"/>
    <w:rsid w:val="00977C3B"/>
    <w:rsid w:val="009901B5"/>
    <w:rsid w:val="00994C2D"/>
    <w:rsid w:val="009A0BCC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A05705"/>
    <w:rsid w:val="00A10954"/>
    <w:rsid w:val="00A16F03"/>
    <w:rsid w:val="00A21136"/>
    <w:rsid w:val="00A316E5"/>
    <w:rsid w:val="00A3323A"/>
    <w:rsid w:val="00A46C66"/>
    <w:rsid w:val="00A46FAF"/>
    <w:rsid w:val="00A51E8D"/>
    <w:rsid w:val="00A51E8F"/>
    <w:rsid w:val="00A5674A"/>
    <w:rsid w:val="00A623EF"/>
    <w:rsid w:val="00A64F91"/>
    <w:rsid w:val="00A7438D"/>
    <w:rsid w:val="00A74797"/>
    <w:rsid w:val="00A75272"/>
    <w:rsid w:val="00A7601D"/>
    <w:rsid w:val="00A81984"/>
    <w:rsid w:val="00A931E5"/>
    <w:rsid w:val="00AA0F23"/>
    <w:rsid w:val="00AA16EF"/>
    <w:rsid w:val="00AA3E2F"/>
    <w:rsid w:val="00AA46CA"/>
    <w:rsid w:val="00AA535B"/>
    <w:rsid w:val="00AC3273"/>
    <w:rsid w:val="00AC68C4"/>
    <w:rsid w:val="00AD1DB5"/>
    <w:rsid w:val="00AD310D"/>
    <w:rsid w:val="00AD3D4D"/>
    <w:rsid w:val="00AE2183"/>
    <w:rsid w:val="00AE4069"/>
    <w:rsid w:val="00AE7916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80B9E"/>
    <w:rsid w:val="00B838DA"/>
    <w:rsid w:val="00B86E3A"/>
    <w:rsid w:val="00BA017F"/>
    <w:rsid w:val="00BA0247"/>
    <w:rsid w:val="00BD472B"/>
    <w:rsid w:val="00BD535F"/>
    <w:rsid w:val="00BD5CE1"/>
    <w:rsid w:val="00BE0CDB"/>
    <w:rsid w:val="00BE377F"/>
    <w:rsid w:val="00BE6E64"/>
    <w:rsid w:val="00BF31B7"/>
    <w:rsid w:val="00BF4F99"/>
    <w:rsid w:val="00C10048"/>
    <w:rsid w:val="00C30E9B"/>
    <w:rsid w:val="00C424FC"/>
    <w:rsid w:val="00C51ECC"/>
    <w:rsid w:val="00C600D9"/>
    <w:rsid w:val="00C67ADA"/>
    <w:rsid w:val="00C810E8"/>
    <w:rsid w:val="00C81693"/>
    <w:rsid w:val="00C843FF"/>
    <w:rsid w:val="00C847C2"/>
    <w:rsid w:val="00C91D00"/>
    <w:rsid w:val="00CA6613"/>
    <w:rsid w:val="00CC3B31"/>
    <w:rsid w:val="00CC69AD"/>
    <w:rsid w:val="00CE746C"/>
    <w:rsid w:val="00CF1664"/>
    <w:rsid w:val="00CF5A8A"/>
    <w:rsid w:val="00D01278"/>
    <w:rsid w:val="00D12AB1"/>
    <w:rsid w:val="00D23B36"/>
    <w:rsid w:val="00D26009"/>
    <w:rsid w:val="00D27AEB"/>
    <w:rsid w:val="00D53BAE"/>
    <w:rsid w:val="00D57DBA"/>
    <w:rsid w:val="00D57EBC"/>
    <w:rsid w:val="00D71F76"/>
    <w:rsid w:val="00D77095"/>
    <w:rsid w:val="00D80573"/>
    <w:rsid w:val="00D8173A"/>
    <w:rsid w:val="00D94BB1"/>
    <w:rsid w:val="00D961C9"/>
    <w:rsid w:val="00D97B80"/>
    <w:rsid w:val="00DA1D73"/>
    <w:rsid w:val="00DB2761"/>
    <w:rsid w:val="00DB2FF6"/>
    <w:rsid w:val="00DD0E0C"/>
    <w:rsid w:val="00DD7765"/>
    <w:rsid w:val="00DE522D"/>
    <w:rsid w:val="00E13746"/>
    <w:rsid w:val="00E23955"/>
    <w:rsid w:val="00E37EA9"/>
    <w:rsid w:val="00E417DF"/>
    <w:rsid w:val="00E47327"/>
    <w:rsid w:val="00E7385D"/>
    <w:rsid w:val="00E86579"/>
    <w:rsid w:val="00E90A19"/>
    <w:rsid w:val="00E974F8"/>
    <w:rsid w:val="00EA79DA"/>
    <w:rsid w:val="00EC636E"/>
    <w:rsid w:val="00EC7E55"/>
    <w:rsid w:val="00ED3278"/>
    <w:rsid w:val="00ED6F93"/>
    <w:rsid w:val="00EE7CB8"/>
    <w:rsid w:val="00EF16FB"/>
    <w:rsid w:val="00F02216"/>
    <w:rsid w:val="00F0291C"/>
    <w:rsid w:val="00F101DD"/>
    <w:rsid w:val="00F14193"/>
    <w:rsid w:val="00F14D59"/>
    <w:rsid w:val="00F20CCE"/>
    <w:rsid w:val="00F3614E"/>
    <w:rsid w:val="00F56870"/>
    <w:rsid w:val="00F576E0"/>
    <w:rsid w:val="00F6440C"/>
    <w:rsid w:val="00F67C34"/>
    <w:rsid w:val="00F8673E"/>
    <w:rsid w:val="00F901CF"/>
    <w:rsid w:val="00F906EF"/>
    <w:rsid w:val="00FA4680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0F2997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99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rFonts w:cs="Simplified Arabic"/>
      <w:sz w:val="24"/>
      <w:szCs w:val="24"/>
      <w:lang w:val="en-GB"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rFonts w:cs="Simplified Arabic"/>
      <w:b/>
      <w:caps/>
      <w:sz w:val="24"/>
      <w:szCs w:val="24"/>
      <w:lang w:val="en-GB"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C:\Program%20Files%20(x86)\Microsoft%20Office\Templates\KWM\blank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2</Pages>
  <Words>149</Words>
  <Characters>855</Characters>
  <Lines>7</Lines>
  <Paragraphs>2</Paragraphs>
  <TotalTime>9</TotalTime>
  <ScaleCrop>false</ScaleCrop>
  <LinksUpToDate>false</LinksUpToDate>
  <CharactersWithSpaces>1002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2023-12-11T16:31:00Z</dcterms:created>
  <dc:creator>Fangda</dc:creator>
  <cp:lastModifiedBy>scjgj</cp:lastModifiedBy>
  <cp:lastPrinted>2022-03-20T21:18:00Z</cp:lastPrinted>
  <dcterms:modified xsi:type="dcterms:W3CDTF">2023-12-12T16:24:28Z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