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AC99" w14:textId="77777777" w:rsidR="00CB00DF" w:rsidRDefault="00CB00DF" w:rsidP="008E738F">
      <w:pPr>
        <w:spacing w:line="440" w:lineRule="exact"/>
        <w:jc w:val="center"/>
        <w:rPr>
          <w:rFonts w:ascii="黑体" w:eastAsia="黑体" w:hAnsi="Times New Roman"/>
          <w:sz w:val="30"/>
          <w:szCs w:val="30"/>
        </w:rPr>
      </w:pPr>
      <w:r w:rsidRPr="00202C4C">
        <w:rPr>
          <w:rFonts w:ascii="黑体" w:eastAsia="黑体" w:hAnsi="Times New Roman" w:hint="eastAsia"/>
          <w:sz w:val="30"/>
          <w:szCs w:val="30"/>
        </w:rPr>
        <w:t>经营者集中简易案件公示表</w:t>
      </w:r>
    </w:p>
    <w:p w14:paraId="0C9F40BA" w14:textId="77777777" w:rsidR="008E738F" w:rsidRPr="008E738F" w:rsidRDefault="008E738F" w:rsidP="008E738F">
      <w:pPr>
        <w:spacing w:line="440" w:lineRule="exact"/>
        <w:jc w:val="center"/>
        <w:rPr>
          <w:rFonts w:ascii="黑体" w:eastAsia="黑体" w:hAnsi="Times New Roman"/>
          <w:sz w:val="30"/>
          <w:szCs w:val="30"/>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918"/>
        <w:gridCol w:w="5146"/>
      </w:tblGrid>
      <w:tr w:rsidR="00CB00DF" w:rsidRPr="00CD34B2" w14:paraId="2D3EA569" w14:textId="77777777" w:rsidTr="004106BA">
        <w:trPr>
          <w:trHeight w:val="20"/>
        </w:trPr>
        <w:tc>
          <w:tcPr>
            <w:tcW w:w="1694" w:type="dxa"/>
            <w:shd w:val="clear" w:color="auto" w:fill="D9D9D9"/>
            <w:vAlign w:val="center"/>
          </w:tcPr>
          <w:p w14:paraId="5482DC90" w14:textId="77777777" w:rsidR="00CB00DF" w:rsidRPr="00CD34B2" w:rsidRDefault="00CB00DF"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案件名称</w:t>
            </w:r>
          </w:p>
        </w:tc>
        <w:tc>
          <w:tcPr>
            <w:tcW w:w="7064" w:type="dxa"/>
            <w:gridSpan w:val="2"/>
          </w:tcPr>
          <w:p w14:paraId="3B54549C" w14:textId="38C8BE76" w:rsidR="00865634" w:rsidRPr="00CD34B2" w:rsidRDefault="006C1139"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安徽海螺新能源有限公司与安徽铜化国贸集团有限公司新设合营企业案</w:t>
            </w:r>
          </w:p>
        </w:tc>
      </w:tr>
      <w:tr w:rsidR="00CB00DF" w:rsidRPr="00CD34B2" w14:paraId="7C9AB808" w14:textId="77777777" w:rsidTr="004106BA">
        <w:trPr>
          <w:trHeight w:val="20"/>
        </w:trPr>
        <w:tc>
          <w:tcPr>
            <w:tcW w:w="1694" w:type="dxa"/>
            <w:shd w:val="clear" w:color="auto" w:fill="D9D9D9"/>
            <w:vAlign w:val="center"/>
          </w:tcPr>
          <w:p w14:paraId="1357475C" w14:textId="0BA13B81" w:rsidR="00CB00DF" w:rsidRPr="00CD34B2" w:rsidRDefault="00CB00DF"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交易概况（限200字内）</w:t>
            </w:r>
          </w:p>
        </w:tc>
        <w:tc>
          <w:tcPr>
            <w:tcW w:w="7064" w:type="dxa"/>
            <w:gridSpan w:val="2"/>
          </w:tcPr>
          <w:p w14:paraId="27B1C2B2" w14:textId="0D725225" w:rsidR="00653538" w:rsidRPr="00CD34B2" w:rsidRDefault="001A4941"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安徽海螺新能源有限公司</w:t>
            </w:r>
            <w:r w:rsidR="005B7CE8" w:rsidRPr="00CD34B2">
              <w:rPr>
                <w:rFonts w:ascii="宋体" w:hAnsi="宋体" w:cs="宋体" w:hint="eastAsia"/>
                <w:color w:val="333333"/>
                <w:kern w:val="0"/>
                <w:sz w:val="24"/>
                <w:szCs w:val="24"/>
                <w:bdr w:val="none" w:sz="0" w:space="0" w:color="auto" w:frame="1"/>
              </w:rPr>
              <w:t>（“</w:t>
            </w:r>
            <w:r w:rsidRPr="00CD34B2">
              <w:rPr>
                <w:rFonts w:ascii="宋体" w:hAnsi="宋体" w:cs="宋体" w:hint="eastAsia"/>
                <w:color w:val="333333"/>
                <w:kern w:val="0"/>
                <w:sz w:val="24"/>
                <w:szCs w:val="24"/>
                <w:bdr w:val="none" w:sz="0" w:space="0" w:color="auto" w:frame="1"/>
              </w:rPr>
              <w:t>海螺新能源</w:t>
            </w:r>
            <w:r w:rsidR="005B7CE8" w:rsidRPr="00CD34B2">
              <w:rPr>
                <w:rFonts w:ascii="宋体" w:hAnsi="宋体" w:cs="宋体" w:hint="eastAsia"/>
                <w:color w:val="333333"/>
                <w:kern w:val="0"/>
                <w:sz w:val="24"/>
                <w:szCs w:val="24"/>
                <w:bdr w:val="none" w:sz="0" w:space="0" w:color="auto" w:frame="1"/>
              </w:rPr>
              <w:t>”）</w:t>
            </w:r>
            <w:r w:rsidR="006C1139" w:rsidRPr="00CD34B2">
              <w:rPr>
                <w:rFonts w:ascii="宋体" w:hAnsi="宋体" w:cs="宋体" w:hint="eastAsia"/>
                <w:color w:val="333333"/>
                <w:kern w:val="0"/>
                <w:sz w:val="24"/>
                <w:szCs w:val="24"/>
                <w:bdr w:val="none" w:sz="0" w:space="0" w:color="auto" w:frame="1"/>
              </w:rPr>
              <w:t>与安徽铜化国贸集团有限公司（“铜化国贸”）</w:t>
            </w:r>
            <w:r w:rsidR="003836E4" w:rsidRPr="00CD34B2">
              <w:rPr>
                <w:rFonts w:ascii="宋体" w:hAnsi="宋体" w:cs="宋体" w:hint="eastAsia"/>
                <w:color w:val="333333"/>
                <w:kern w:val="0"/>
                <w:sz w:val="24"/>
                <w:szCs w:val="24"/>
                <w:bdr w:val="none" w:sz="0" w:space="0" w:color="auto" w:frame="1"/>
              </w:rPr>
              <w:t>拟</w:t>
            </w:r>
            <w:r w:rsidR="006C1139" w:rsidRPr="00CD34B2">
              <w:rPr>
                <w:rFonts w:ascii="宋体" w:hAnsi="宋体" w:cs="宋体" w:hint="eastAsia"/>
                <w:color w:val="333333"/>
                <w:kern w:val="0"/>
                <w:sz w:val="24"/>
                <w:szCs w:val="24"/>
                <w:bdr w:val="none" w:sz="0" w:space="0" w:color="auto" w:frame="1"/>
              </w:rPr>
              <w:t>共同出资</w:t>
            </w:r>
            <w:r w:rsidR="00F73B31" w:rsidRPr="00CD34B2">
              <w:rPr>
                <w:rFonts w:ascii="宋体" w:hAnsi="宋体" w:cs="宋体" w:hint="eastAsia"/>
                <w:color w:val="333333"/>
                <w:kern w:val="0"/>
                <w:sz w:val="24"/>
                <w:szCs w:val="24"/>
                <w:bdr w:val="none" w:sz="0" w:space="0" w:color="auto" w:frame="1"/>
              </w:rPr>
              <w:t>在安徽省</w:t>
            </w:r>
            <w:r w:rsidR="006C1139" w:rsidRPr="00CD34B2">
              <w:rPr>
                <w:rFonts w:ascii="宋体" w:hAnsi="宋体" w:cs="宋体" w:hint="eastAsia"/>
                <w:color w:val="333333"/>
                <w:kern w:val="0"/>
                <w:sz w:val="24"/>
                <w:szCs w:val="24"/>
                <w:bdr w:val="none" w:sz="0" w:space="0" w:color="auto" w:frame="1"/>
              </w:rPr>
              <w:t>铜陵市</w:t>
            </w:r>
            <w:r w:rsidR="003836E4" w:rsidRPr="00CD34B2">
              <w:rPr>
                <w:rFonts w:ascii="宋体" w:hAnsi="宋体" w:cs="宋体" w:hint="eastAsia"/>
                <w:color w:val="333333"/>
                <w:kern w:val="0"/>
                <w:sz w:val="24"/>
                <w:szCs w:val="24"/>
                <w:bdr w:val="none" w:sz="0" w:space="0" w:color="auto" w:frame="1"/>
              </w:rPr>
              <w:t>新设合营企业，</w:t>
            </w:r>
            <w:r w:rsidR="00AC36B2" w:rsidRPr="00CD34B2">
              <w:rPr>
                <w:rFonts w:ascii="宋体" w:hAnsi="宋体" w:cs="宋体" w:hint="eastAsia"/>
                <w:color w:val="333333"/>
                <w:kern w:val="0"/>
                <w:sz w:val="24"/>
                <w:szCs w:val="24"/>
                <w:bdr w:val="none" w:sz="0" w:space="0" w:color="auto" w:frame="1"/>
              </w:rPr>
              <w:t>从事</w:t>
            </w:r>
            <w:r w:rsidR="006C1139" w:rsidRPr="00CD34B2">
              <w:rPr>
                <w:rFonts w:ascii="宋体" w:hAnsi="宋体" w:cs="宋体" w:hint="eastAsia"/>
                <w:color w:val="333333"/>
                <w:kern w:val="0"/>
                <w:sz w:val="24"/>
                <w:szCs w:val="24"/>
                <w:bdr w:val="none" w:sz="0" w:space="0" w:color="auto" w:frame="1"/>
              </w:rPr>
              <w:t>光伏</w:t>
            </w:r>
            <w:r w:rsidR="00AC36B2" w:rsidRPr="00CD34B2">
              <w:rPr>
                <w:rFonts w:ascii="宋体" w:hAnsi="宋体" w:cs="宋体" w:hint="eastAsia"/>
                <w:color w:val="333333"/>
                <w:kern w:val="0"/>
                <w:sz w:val="24"/>
                <w:szCs w:val="24"/>
                <w:bdr w:val="none" w:sz="0" w:space="0" w:color="auto" w:frame="1"/>
              </w:rPr>
              <w:t>发电项目的投资、开发建设和运营。</w:t>
            </w:r>
          </w:p>
          <w:p w14:paraId="1659583C" w14:textId="49F2D867" w:rsidR="00CB00DF" w:rsidRPr="00CD34B2" w:rsidRDefault="00543EAD"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交易后</w:t>
            </w:r>
            <w:r w:rsidR="00677640" w:rsidRPr="00CD34B2">
              <w:rPr>
                <w:rFonts w:ascii="宋体" w:hAnsi="宋体" w:cs="宋体" w:hint="eastAsia"/>
                <w:color w:val="333333"/>
                <w:kern w:val="0"/>
                <w:sz w:val="24"/>
                <w:szCs w:val="24"/>
                <w:bdr w:val="none" w:sz="0" w:space="0" w:color="auto" w:frame="1"/>
              </w:rPr>
              <w:t>，</w:t>
            </w:r>
            <w:r w:rsidR="001266A2" w:rsidRPr="00CD34B2">
              <w:rPr>
                <w:rFonts w:ascii="宋体" w:hAnsi="宋体" w:cs="宋体" w:hint="eastAsia"/>
                <w:color w:val="333333"/>
                <w:kern w:val="0"/>
                <w:sz w:val="24"/>
                <w:szCs w:val="24"/>
                <w:bdr w:val="none" w:sz="0" w:space="0" w:color="auto" w:frame="1"/>
              </w:rPr>
              <w:t>海螺新能源</w:t>
            </w:r>
            <w:r w:rsidR="006C1139" w:rsidRPr="00CD34B2">
              <w:rPr>
                <w:rFonts w:ascii="宋体" w:hAnsi="宋体" w:cs="宋体" w:hint="eastAsia"/>
                <w:color w:val="333333"/>
                <w:kern w:val="0"/>
                <w:sz w:val="24"/>
                <w:szCs w:val="24"/>
                <w:bdr w:val="none" w:sz="0" w:space="0" w:color="auto" w:frame="1"/>
              </w:rPr>
              <w:t>和铜化国贸</w:t>
            </w:r>
            <w:r w:rsidR="00025708" w:rsidRPr="00CD34B2">
              <w:rPr>
                <w:rFonts w:ascii="宋体" w:hAnsi="宋体" w:cs="宋体" w:hint="eastAsia"/>
                <w:color w:val="333333"/>
                <w:kern w:val="0"/>
                <w:sz w:val="24"/>
                <w:szCs w:val="24"/>
                <w:bdr w:val="none" w:sz="0" w:space="0" w:color="auto" w:frame="1"/>
              </w:rPr>
              <w:t>将</w:t>
            </w:r>
            <w:r w:rsidR="001266A2" w:rsidRPr="00CD34B2">
              <w:rPr>
                <w:rFonts w:ascii="宋体" w:hAnsi="宋体" w:cs="宋体" w:hint="eastAsia"/>
                <w:color w:val="333333"/>
                <w:kern w:val="0"/>
                <w:sz w:val="24"/>
                <w:szCs w:val="24"/>
                <w:bdr w:val="none" w:sz="0" w:space="0" w:color="auto" w:frame="1"/>
              </w:rPr>
              <w:t>分别</w:t>
            </w:r>
            <w:r w:rsidR="00F73B31" w:rsidRPr="00CD34B2">
              <w:rPr>
                <w:rFonts w:ascii="宋体" w:hAnsi="宋体" w:cs="宋体" w:hint="eastAsia"/>
                <w:color w:val="333333"/>
                <w:kern w:val="0"/>
                <w:sz w:val="24"/>
                <w:szCs w:val="24"/>
                <w:bdr w:val="none" w:sz="0" w:space="0" w:color="auto" w:frame="1"/>
              </w:rPr>
              <w:t>持有</w:t>
            </w:r>
            <w:r w:rsidR="00677640" w:rsidRPr="00CD34B2">
              <w:rPr>
                <w:rFonts w:ascii="宋体" w:hAnsi="宋体" w:cs="宋体" w:hint="eastAsia"/>
                <w:color w:val="333333"/>
                <w:kern w:val="0"/>
                <w:sz w:val="24"/>
                <w:szCs w:val="24"/>
                <w:bdr w:val="none" w:sz="0" w:space="0" w:color="auto" w:frame="1"/>
              </w:rPr>
              <w:t>合营企业51%</w:t>
            </w:r>
            <w:r w:rsidR="001266A2" w:rsidRPr="00CD34B2">
              <w:rPr>
                <w:rFonts w:ascii="宋体" w:hAnsi="宋体" w:cs="宋体" w:hint="eastAsia"/>
                <w:color w:val="333333"/>
                <w:kern w:val="0"/>
                <w:sz w:val="24"/>
                <w:szCs w:val="24"/>
                <w:bdr w:val="none" w:sz="0" w:space="0" w:color="auto" w:frame="1"/>
              </w:rPr>
              <w:t>和4</w:t>
            </w:r>
            <w:r w:rsidR="001266A2" w:rsidRPr="00CD34B2">
              <w:rPr>
                <w:rFonts w:ascii="宋体" w:hAnsi="宋体" w:cs="宋体"/>
                <w:color w:val="333333"/>
                <w:kern w:val="0"/>
                <w:sz w:val="24"/>
                <w:szCs w:val="24"/>
                <w:bdr w:val="none" w:sz="0" w:space="0" w:color="auto" w:frame="1"/>
              </w:rPr>
              <w:t>9</w:t>
            </w:r>
            <w:r w:rsidR="001266A2" w:rsidRPr="00CD34B2">
              <w:rPr>
                <w:rFonts w:ascii="宋体" w:hAnsi="宋体" w:cs="宋体" w:hint="eastAsia"/>
                <w:color w:val="333333"/>
                <w:kern w:val="0"/>
                <w:sz w:val="24"/>
                <w:szCs w:val="24"/>
                <w:bdr w:val="none" w:sz="0" w:space="0" w:color="auto" w:frame="1"/>
              </w:rPr>
              <w:t>%</w:t>
            </w:r>
            <w:r w:rsidR="00677640" w:rsidRPr="00CD34B2">
              <w:rPr>
                <w:rFonts w:ascii="宋体" w:hAnsi="宋体" w:cs="宋体" w:hint="eastAsia"/>
                <w:color w:val="333333"/>
                <w:kern w:val="0"/>
                <w:sz w:val="24"/>
                <w:szCs w:val="24"/>
                <w:bdr w:val="none" w:sz="0" w:space="0" w:color="auto" w:frame="1"/>
              </w:rPr>
              <w:t>的股权</w:t>
            </w:r>
            <w:r w:rsidR="00025708" w:rsidRPr="00CD34B2">
              <w:rPr>
                <w:rFonts w:ascii="宋体" w:hAnsi="宋体" w:cs="宋体" w:hint="eastAsia"/>
                <w:color w:val="333333"/>
                <w:kern w:val="0"/>
                <w:sz w:val="24"/>
                <w:szCs w:val="24"/>
                <w:bdr w:val="none" w:sz="0" w:space="0" w:color="auto" w:frame="1"/>
              </w:rPr>
              <w:t>，二者</w:t>
            </w:r>
            <w:r w:rsidR="005D0C08" w:rsidRPr="00CD34B2">
              <w:rPr>
                <w:rFonts w:ascii="宋体" w:hAnsi="宋体" w:cs="宋体" w:hint="eastAsia"/>
                <w:color w:val="333333"/>
                <w:kern w:val="0"/>
                <w:sz w:val="24"/>
                <w:szCs w:val="24"/>
                <w:bdr w:val="none" w:sz="0" w:space="0" w:color="auto" w:frame="1"/>
              </w:rPr>
              <w:t>将共同控制</w:t>
            </w:r>
            <w:r w:rsidR="001A4941" w:rsidRPr="00CD34B2">
              <w:rPr>
                <w:rFonts w:ascii="宋体" w:hAnsi="宋体" w:cs="宋体" w:hint="eastAsia"/>
                <w:color w:val="333333"/>
                <w:kern w:val="0"/>
                <w:sz w:val="24"/>
                <w:szCs w:val="24"/>
                <w:bdr w:val="none" w:sz="0" w:space="0" w:color="auto" w:frame="1"/>
              </w:rPr>
              <w:t>合营企业。</w:t>
            </w:r>
          </w:p>
        </w:tc>
      </w:tr>
      <w:tr w:rsidR="00971321" w:rsidRPr="00CD34B2" w14:paraId="5A6BDFA8" w14:textId="77777777" w:rsidTr="004106BA">
        <w:trPr>
          <w:trHeight w:val="20"/>
        </w:trPr>
        <w:tc>
          <w:tcPr>
            <w:tcW w:w="1694" w:type="dxa"/>
            <w:vMerge w:val="restart"/>
            <w:shd w:val="clear" w:color="auto" w:fill="D9D9D9"/>
            <w:vAlign w:val="center"/>
          </w:tcPr>
          <w:p w14:paraId="5FA59F5E" w14:textId="3608D35C" w:rsidR="00971321" w:rsidRPr="00CD34B2" w:rsidRDefault="00971321"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参与集中的经营者简介</w:t>
            </w:r>
          </w:p>
        </w:tc>
        <w:tc>
          <w:tcPr>
            <w:tcW w:w="1918" w:type="dxa"/>
            <w:vAlign w:val="center"/>
          </w:tcPr>
          <w:p w14:paraId="6FDFD1C8" w14:textId="520C00E0" w:rsidR="00971321" w:rsidRPr="00CD34B2" w:rsidRDefault="00971321"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1</w:t>
            </w:r>
            <w:r w:rsidRPr="00CD34B2">
              <w:rPr>
                <w:rFonts w:ascii="宋体" w:hAnsi="宋体" w:cs="宋体"/>
                <w:color w:val="333333"/>
                <w:kern w:val="0"/>
                <w:sz w:val="24"/>
                <w:szCs w:val="24"/>
                <w:bdr w:val="none" w:sz="0" w:space="0" w:color="auto" w:frame="1"/>
              </w:rPr>
              <w:t>.</w:t>
            </w:r>
            <w:r w:rsidR="006C1139" w:rsidRPr="00CD34B2">
              <w:rPr>
                <w:rFonts w:ascii="宋体" w:hAnsi="宋体" w:cs="宋体" w:hint="eastAsia"/>
                <w:color w:val="333333"/>
                <w:kern w:val="0"/>
                <w:sz w:val="24"/>
                <w:szCs w:val="24"/>
                <w:bdr w:val="none" w:sz="0" w:space="0" w:color="auto" w:frame="1"/>
              </w:rPr>
              <w:t>海螺新能源</w:t>
            </w:r>
          </w:p>
        </w:tc>
        <w:tc>
          <w:tcPr>
            <w:tcW w:w="5146" w:type="dxa"/>
          </w:tcPr>
          <w:p w14:paraId="6606D98A" w14:textId="0464CFB9" w:rsidR="006C1139" w:rsidRPr="00CD34B2" w:rsidRDefault="006C1139"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海螺新能源于2018年3月27日在安徽省芜湖市注册设立，主要从事光伏发电、风力发电、储能系统领域内的技术开发、技术服务，电力项目的建设、运营和管理。</w:t>
            </w:r>
          </w:p>
          <w:p w14:paraId="787FD06D" w14:textId="197CF742" w:rsidR="00971321" w:rsidRPr="00CD34B2" w:rsidRDefault="00161791"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海螺新能源的最终控制人为安徽省投资集团控股有限公司，主要业务包括筹措、管理、经营本省基本建设资金、铁路建设基金、产业基金等。</w:t>
            </w:r>
          </w:p>
        </w:tc>
      </w:tr>
      <w:tr w:rsidR="00971321" w:rsidRPr="00CD34B2" w14:paraId="17C7BA02" w14:textId="77777777" w:rsidTr="004106BA">
        <w:trPr>
          <w:trHeight w:val="20"/>
        </w:trPr>
        <w:tc>
          <w:tcPr>
            <w:tcW w:w="1694" w:type="dxa"/>
            <w:vMerge/>
            <w:shd w:val="clear" w:color="auto" w:fill="D9D9D9"/>
            <w:vAlign w:val="center"/>
          </w:tcPr>
          <w:p w14:paraId="777005D2" w14:textId="77777777" w:rsidR="00971321" w:rsidRPr="00CD34B2" w:rsidRDefault="00971321" w:rsidP="004106BA">
            <w:pPr>
              <w:spacing w:line="500" w:lineRule="exact"/>
              <w:rPr>
                <w:rFonts w:ascii="宋体" w:hAnsi="宋体" w:cs="宋体"/>
                <w:color w:val="333333"/>
                <w:kern w:val="0"/>
                <w:sz w:val="24"/>
                <w:szCs w:val="24"/>
                <w:bdr w:val="none" w:sz="0" w:space="0" w:color="auto" w:frame="1"/>
              </w:rPr>
            </w:pPr>
          </w:p>
        </w:tc>
        <w:tc>
          <w:tcPr>
            <w:tcW w:w="1918" w:type="dxa"/>
            <w:vAlign w:val="center"/>
          </w:tcPr>
          <w:p w14:paraId="1F9C48AB" w14:textId="0A22C571" w:rsidR="005B7CE8" w:rsidRPr="00CD34B2" w:rsidRDefault="00971321"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2</w:t>
            </w:r>
            <w:r w:rsidRPr="00CD34B2">
              <w:rPr>
                <w:rFonts w:ascii="宋体" w:hAnsi="宋体" w:cs="宋体"/>
                <w:color w:val="333333"/>
                <w:kern w:val="0"/>
                <w:sz w:val="24"/>
                <w:szCs w:val="24"/>
                <w:bdr w:val="none" w:sz="0" w:space="0" w:color="auto" w:frame="1"/>
              </w:rPr>
              <w:t>.</w:t>
            </w:r>
            <w:r w:rsidR="006C1139" w:rsidRPr="00CD34B2">
              <w:rPr>
                <w:rFonts w:ascii="宋体" w:hAnsi="宋体" w:cs="宋体"/>
                <w:color w:val="333333"/>
                <w:kern w:val="0"/>
                <w:sz w:val="24"/>
                <w:szCs w:val="24"/>
                <w:bdr w:val="none" w:sz="0" w:space="0" w:color="auto" w:frame="1"/>
              </w:rPr>
              <w:t xml:space="preserve"> </w:t>
            </w:r>
            <w:r w:rsidR="006C1139" w:rsidRPr="00CD34B2">
              <w:rPr>
                <w:rFonts w:ascii="宋体" w:hAnsi="宋体" w:cs="宋体" w:hint="eastAsia"/>
                <w:color w:val="333333"/>
                <w:kern w:val="0"/>
                <w:sz w:val="24"/>
                <w:szCs w:val="24"/>
                <w:bdr w:val="none" w:sz="0" w:space="0" w:color="auto" w:frame="1"/>
              </w:rPr>
              <w:t>铜化国贸</w:t>
            </w:r>
          </w:p>
        </w:tc>
        <w:tc>
          <w:tcPr>
            <w:tcW w:w="5146" w:type="dxa"/>
          </w:tcPr>
          <w:p w14:paraId="7B6EAC07" w14:textId="010AE196" w:rsidR="00971321" w:rsidRPr="00CD34B2" w:rsidRDefault="00161791"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铜化国贸于2</w:t>
            </w:r>
            <w:r w:rsidRPr="00CD34B2">
              <w:rPr>
                <w:rFonts w:ascii="宋体" w:hAnsi="宋体" w:cs="宋体"/>
                <w:color w:val="333333"/>
                <w:kern w:val="0"/>
                <w:sz w:val="24"/>
                <w:szCs w:val="24"/>
                <w:bdr w:val="none" w:sz="0" w:space="0" w:color="auto" w:frame="1"/>
              </w:rPr>
              <w:t>020</w:t>
            </w:r>
            <w:r w:rsidRPr="00CD34B2">
              <w:rPr>
                <w:rFonts w:ascii="宋体" w:hAnsi="宋体" w:cs="宋体" w:hint="eastAsia"/>
                <w:color w:val="333333"/>
                <w:kern w:val="0"/>
                <w:sz w:val="24"/>
                <w:szCs w:val="24"/>
                <w:bdr w:val="none" w:sz="0" w:space="0" w:color="auto" w:frame="1"/>
              </w:rPr>
              <w:t>年6月2</w:t>
            </w:r>
            <w:r w:rsidRPr="00CD34B2">
              <w:rPr>
                <w:rFonts w:ascii="宋体" w:hAnsi="宋体" w:cs="宋体"/>
                <w:color w:val="333333"/>
                <w:kern w:val="0"/>
                <w:sz w:val="24"/>
                <w:szCs w:val="24"/>
                <w:bdr w:val="none" w:sz="0" w:space="0" w:color="auto" w:frame="1"/>
              </w:rPr>
              <w:t>9</w:t>
            </w:r>
            <w:r w:rsidRPr="00CD34B2">
              <w:rPr>
                <w:rFonts w:ascii="宋体" w:hAnsi="宋体" w:cs="宋体" w:hint="eastAsia"/>
                <w:color w:val="333333"/>
                <w:kern w:val="0"/>
                <w:sz w:val="24"/>
                <w:szCs w:val="24"/>
                <w:bdr w:val="none" w:sz="0" w:space="0" w:color="auto" w:frame="1"/>
              </w:rPr>
              <w:t>日在安徽省铜陵市注册设立，主要从事化工产品销售、化肥销售、金属矿石销售</w:t>
            </w:r>
            <w:r w:rsidR="004106BA">
              <w:rPr>
                <w:rFonts w:ascii="宋体" w:hAnsi="宋体" w:cs="宋体" w:hint="eastAsia"/>
                <w:color w:val="333333"/>
                <w:kern w:val="0"/>
                <w:sz w:val="24"/>
                <w:szCs w:val="24"/>
                <w:bdr w:val="none" w:sz="0" w:space="0" w:color="auto" w:frame="1"/>
              </w:rPr>
              <w:t>、</w:t>
            </w:r>
            <w:r w:rsidRPr="00CD34B2">
              <w:rPr>
                <w:rFonts w:ascii="宋体" w:hAnsi="宋体" w:cs="宋体" w:hint="eastAsia"/>
                <w:color w:val="333333"/>
                <w:kern w:val="0"/>
                <w:sz w:val="24"/>
                <w:szCs w:val="24"/>
                <w:bdr w:val="none" w:sz="0" w:space="0" w:color="auto" w:frame="1"/>
              </w:rPr>
              <w:t>国内货物运输代理等。</w:t>
            </w:r>
          </w:p>
          <w:p w14:paraId="499C99DE" w14:textId="38DA01CC" w:rsidR="00161791" w:rsidRPr="00CD34B2" w:rsidRDefault="00161791"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铜化国贸的最终控制人为安徽铜都投资集团有限公司，主要业务包括以自有资金从事投资活动、自有资金投资的资产管理服务等。</w:t>
            </w:r>
          </w:p>
        </w:tc>
      </w:tr>
      <w:tr w:rsidR="00CB00DF" w:rsidRPr="00CD34B2" w14:paraId="3C43A6AF" w14:textId="77777777" w:rsidTr="004106BA">
        <w:trPr>
          <w:trHeight w:val="20"/>
        </w:trPr>
        <w:tc>
          <w:tcPr>
            <w:tcW w:w="1694" w:type="dxa"/>
            <w:vMerge w:val="restart"/>
            <w:shd w:val="clear" w:color="auto" w:fill="D9D9D9"/>
            <w:vAlign w:val="center"/>
          </w:tcPr>
          <w:p w14:paraId="6437A8D4" w14:textId="77777777" w:rsidR="00CB00DF" w:rsidRPr="00CD34B2" w:rsidRDefault="00CB00DF"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简易案件理由（可以单选，也可以多选）</w:t>
            </w:r>
          </w:p>
        </w:tc>
        <w:tc>
          <w:tcPr>
            <w:tcW w:w="7064" w:type="dxa"/>
            <w:gridSpan w:val="2"/>
          </w:tcPr>
          <w:p w14:paraId="4654BF82" w14:textId="27C08234" w:rsidR="00CB00DF" w:rsidRPr="00CD34B2" w:rsidRDefault="006C1139"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w:t>
            </w:r>
            <w:r w:rsidR="00CB00DF" w:rsidRPr="00CD34B2">
              <w:rPr>
                <w:rFonts w:ascii="宋体" w:hAnsi="宋体" w:cs="宋体" w:hint="eastAsia"/>
                <w:color w:val="333333"/>
                <w:kern w:val="0"/>
                <w:sz w:val="24"/>
                <w:szCs w:val="24"/>
                <w:bdr w:val="none" w:sz="0" w:space="0" w:color="auto" w:frame="1"/>
              </w:rPr>
              <w:t>1.在同一相关市场，所有参与集中的经营者所占市场份额之和小于15%。</w:t>
            </w:r>
          </w:p>
        </w:tc>
      </w:tr>
      <w:tr w:rsidR="00CB00DF" w:rsidRPr="00CD34B2" w14:paraId="70276CE3" w14:textId="77777777" w:rsidTr="004106BA">
        <w:trPr>
          <w:trHeight w:val="20"/>
        </w:trPr>
        <w:tc>
          <w:tcPr>
            <w:tcW w:w="1694" w:type="dxa"/>
            <w:vMerge/>
            <w:shd w:val="clear" w:color="auto" w:fill="D9D9D9"/>
            <w:vAlign w:val="center"/>
          </w:tcPr>
          <w:p w14:paraId="0A5E53DB" w14:textId="77777777" w:rsidR="00CB00DF" w:rsidRPr="00CD34B2" w:rsidRDefault="00CB00DF" w:rsidP="004106BA">
            <w:pPr>
              <w:spacing w:line="500" w:lineRule="exact"/>
              <w:rPr>
                <w:rFonts w:ascii="宋体" w:hAnsi="宋体" w:cs="宋体"/>
                <w:color w:val="333333"/>
                <w:kern w:val="0"/>
                <w:sz w:val="24"/>
                <w:szCs w:val="24"/>
                <w:bdr w:val="none" w:sz="0" w:space="0" w:color="auto" w:frame="1"/>
              </w:rPr>
            </w:pPr>
          </w:p>
        </w:tc>
        <w:tc>
          <w:tcPr>
            <w:tcW w:w="7064" w:type="dxa"/>
            <w:gridSpan w:val="2"/>
          </w:tcPr>
          <w:p w14:paraId="5FC3A896" w14:textId="119E74BE" w:rsidR="00CB00DF" w:rsidRPr="00CD34B2" w:rsidRDefault="00AB66FA"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w:t>
            </w:r>
            <w:r w:rsidR="00CB00DF" w:rsidRPr="00CD34B2">
              <w:rPr>
                <w:rFonts w:ascii="宋体" w:hAnsi="宋体" w:cs="宋体" w:hint="eastAsia"/>
                <w:color w:val="333333"/>
                <w:kern w:val="0"/>
                <w:sz w:val="24"/>
                <w:szCs w:val="24"/>
                <w:bdr w:val="none" w:sz="0" w:space="0" w:color="auto" w:frame="1"/>
              </w:rPr>
              <w:t>2.存在上下游关系的参与集中的经营者，在上下游市场所占的市场份额均小于25%。</w:t>
            </w:r>
          </w:p>
        </w:tc>
      </w:tr>
      <w:tr w:rsidR="00CB00DF" w:rsidRPr="00CD34B2" w14:paraId="36078DF1" w14:textId="77777777" w:rsidTr="004106BA">
        <w:trPr>
          <w:trHeight w:val="20"/>
        </w:trPr>
        <w:tc>
          <w:tcPr>
            <w:tcW w:w="1694" w:type="dxa"/>
            <w:vMerge/>
            <w:shd w:val="clear" w:color="auto" w:fill="D9D9D9"/>
            <w:vAlign w:val="center"/>
          </w:tcPr>
          <w:p w14:paraId="33893DF9" w14:textId="77777777" w:rsidR="00CB00DF" w:rsidRPr="00CD34B2" w:rsidRDefault="00CB00DF" w:rsidP="004106BA">
            <w:pPr>
              <w:spacing w:line="500" w:lineRule="exact"/>
              <w:rPr>
                <w:rFonts w:ascii="宋体" w:hAnsi="宋体" w:cs="宋体"/>
                <w:color w:val="333333"/>
                <w:kern w:val="0"/>
                <w:sz w:val="24"/>
                <w:szCs w:val="24"/>
                <w:bdr w:val="none" w:sz="0" w:space="0" w:color="auto" w:frame="1"/>
              </w:rPr>
            </w:pPr>
          </w:p>
        </w:tc>
        <w:tc>
          <w:tcPr>
            <w:tcW w:w="7064" w:type="dxa"/>
            <w:gridSpan w:val="2"/>
          </w:tcPr>
          <w:p w14:paraId="331B3686" w14:textId="73A1B91B" w:rsidR="00CB00DF" w:rsidRPr="00CD34B2" w:rsidRDefault="006C1139"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sym w:font="Wingdings 2" w:char="F052"/>
            </w:r>
            <w:r w:rsidR="00CB00DF" w:rsidRPr="00CD34B2">
              <w:rPr>
                <w:rFonts w:ascii="宋体" w:hAnsi="宋体" w:cs="宋体" w:hint="eastAsia"/>
                <w:color w:val="333333"/>
                <w:kern w:val="0"/>
                <w:sz w:val="24"/>
                <w:szCs w:val="24"/>
                <w:bdr w:val="none" w:sz="0" w:space="0" w:color="auto" w:frame="1"/>
              </w:rPr>
              <w:t>3.不在同一相关市场、也不存在上下游关系的参与集中的经营者，在与交易有关的每个市场所占的份额均小于25%。</w:t>
            </w:r>
          </w:p>
        </w:tc>
      </w:tr>
      <w:tr w:rsidR="00CB00DF" w:rsidRPr="00CD34B2" w14:paraId="1663D60E" w14:textId="77777777" w:rsidTr="004106BA">
        <w:trPr>
          <w:trHeight w:val="20"/>
        </w:trPr>
        <w:tc>
          <w:tcPr>
            <w:tcW w:w="1694" w:type="dxa"/>
            <w:vMerge/>
            <w:shd w:val="clear" w:color="auto" w:fill="D9D9D9"/>
            <w:vAlign w:val="center"/>
          </w:tcPr>
          <w:p w14:paraId="5ADD3988" w14:textId="77777777" w:rsidR="00CB00DF" w:rsidRPr="00CD34B2" w:rsidRDefault="00CB00DF" w:rsidP="004106BA">
            <w:pPr>
              <w:spacing w:line="500" w:lineRule="exact"/>
              <w:rPr>
                <w:rFonts w:ascii="宋体" w:hAnsi="宋体" w:cs="宋体"/>
                <w:color w:val="333333"/>
                <w:kern w:val="0"/>
                <w:sz w:val="24"/>
                <w:szCs w:val="24"/>
                <w:bdr w:val="none" w:sz="0" w:space="0" w:color="auto" w:frame="1"/>
              </w:rPr>
            </w:pPr>
          </w:p>
        </w:tc>
        <w:tc>
          <w:tcPr>
            <w:tcW w:w="7064" w:type="dxa"/>
            <w:gridSpan w:val="2"/>
          </w:tcPr>
          <w:p w14:paraId="73F4EE38" w14:textId="4DA9020F" w:rsidR="00CB00DF" w:rsidRPr="00CD34B2" w:rsidRDefault="00451958"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w:t>
            </w:r>
            <w:r w:rsidR="00CB00DF" w:rsidRPr="00CD34B2">
              <w:rPr>
                <w:rFonts w:ascii="宋体" w:hAnsi="宋体" w:cs="宋体" w:hint="eastAsia"/>
                <w:color w:val="333333"/>
                <w:kern w:val="0"/>
                <w:sz w:val="24"/>
                <w:szCs w:val="24"/>
                <w:bdr w:val="none" w:sz="0" w:space="0" w:color="auto" w:frame="1"/>
              </w:rPr>
              <w:t>4.参与集中的经营者在中国境外设立合营企业，合营企业不在中国境内从事经济活动。</w:t>
            </w:r>
          </w:p>
        </w:tc>
      </w:tr>
      <w:tr w:rsidR="00CB00DF" w:rsidRPr="00CD34B2" w14:paraId="22A57E10" w14:textId="77777777" w:rsidTr="004106BA">
        <w:trPr>
          <w:trHeight w:val="20"/>
        </w:trPr>
        <w:tc>
          <w:tcPr>
            <w:tcW w:w="1694" w:type="dxa"/>
            <w:vMerge/>
            <w:shd w:val="clear" w:color="auto" w:fill="D9D9D9"/>
            <w:vAlign w:val="center"/>
          </w:tcPr>
          <w:p w14:paraId="0F17865E" w14:textId="77777777" w:rsidR="00CB00DF" w:rsidRPr="00CD34B2" w:rsidRDefault="00CB00DF" w:rsidP="004106BA">
            <w:pPr>
              <w:spacing w:line="500" w:lineRule="exact"/>
              <w:rPr>
                <w:rFonts w:ascii="宋体" w:hAnsi="宋体" w:cs="宋体"/>
                <w:color w:val="333333"/>
                <w:kern w:val="0"/>
                <w:sz w:val="24"/>
                <w:szCs w:val="24"/>
                <w:bdr w:val="none" w:sz="0" w:space="0" w:color="auto" w:frame="1"/>
              </w:rPr>
            </w:pPr>
          </w:p>
        </w:tc>
        <w:tc>
          <w:tcPr>
            <w:tcW w:w="7064" w:type="dxa"/>
            <w:gridSpan w:val="2"/>
          </w:tcPr>
          <w:p w14:paraId="148A8F3B" w14:textId="77777777" w:rsidR="00CB00DF" w:rsidRPr="00CD34B2" w:rsidRDefault="00CB00DF"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□5.参与集中的经营者收购境外企业股权或资产的，该境外企业不在中国境内从事经济活动。</w:t>
            </w:r>
          </w:p>
        </w:tc>
      </w:tr>
      <w:tr w:rsidR="00CB00DF" w:rsidRPr="00CD34B2" w14:paraId="076A598F" w14:textId="77777777" w:rsidTr="004106BA">
        <w:trPr>
          <w:trHeight w:val="20"/>
        </w:trPr>
        <w:tc>
          <w:tcPr>
            <w:tcW w:w="1694" w:type="dxa"/>
            <w:vMerge/>
            <w:shd w:val="clear" w:color="auto" w:fill="D9D9D9"/>
            <w:vAlign w:val="center"/>
          </w:tcPr>
          <w:p w14:paraId="41E1E50F" w14:textId="77777777" w:rsidR="00CB00DF" w:rsidRPr="00CD34B2" w:rsidRDefault="00CB00DF" w:rsidP="004106BA">
            <w:pPr>
              <w:spacing w:line="500" w:lineRule="exact"/>
              <w:rPr>
                <w:rFonts w:ascii="宋体" w:hAnsi="宋体" w:cs="宋体"/>
                <w:color w:val="333333"/>
                <w:kern w:val="0"/>
                <w:sz w:val="24"/>
                <w:szCs w:val="24"/>
                <w:bdr w:val="none" w:sz="0" w:space="0" w:color="auto" w:frame="1"/>
              </w:rPr>
            </w:pPr>
          </w:p>
        </w:tc>
        <w:tc>
          <w:tcPr>
            <w:tcW w:w="7064" w:type="dxa"/>
            <w:gridSpan w:val="2"/>
          </w:tcPr>
          <w:p w14:paraId="121D419A" w14:textId="77777777" w:rsidR="00CB00DF" w:rsidRPr="00CD34B2" w:rsidRDefault="00CB00DF" w:rsidP="00CD34B2">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□6.由两个以上的经营者共同控制的合营企业，通过集中被其中一个或一个以上经营者控制。</w:t>
            </w:r>
          </w:p>
        </w:tc>
      </w:tr>
      <w:tr w:rsidR="00CB00DF" w:rsidRPr="00CD34B2" w14:paraId="10802450" w14:textId="77777777" w:rsidTr="004106BA">
        <w:trPr>
          <w:trHeight w:val="1161"/>
        </w:trPr>
        <w:tc>
          <w:tcPr>
            <w:tcW w:w="1694" w:type="dxa"/>
            <w:shd w:val="clear" w:color="auto" w:fill="D9D9D9"/>
            <w:vAlign w:val="center"/>
          </w:tcPr>
          <w:p w14:paraId="15FA87A9" w14:textId="77777777" w:rsidR="00CB00DF" w:rsidRPr="00CD34B2" w:rsidRDefault="00CB00DF" w:rsidP="004106BA">
            <w:pPr>
              <w:rPr>
                <w:rFonts w:ascii="宋体" w:hAnsi="宋体" w:cs="宋体"/>
                <w:color w:val="333333"/>
                <w:kern w:val="0"/>
                <w:sz w:val="24"/>
                <w:szCs w:val="24"/>
                <w:bdr w:val="none" w:sz="0" w:space="0" w:color="auto" w:frame="1"/>
              </w:rPr>
            </w:pPr>
            <w:r w:rsidRPr="00CD34B2">
              <w:rPr>
                <w:rFonts w:ascii="宋体" w:hAnsi="宋体" w:cs="宋体" w:hint="eastAsia"/>
                <w:color w:val="333333"/>
                <w:kern w:val="0"/>
                <w:sz w:val="24"/>
                <w:szCs w:val="24"/>
                <w:bdr w:val="none" w:sz="0" w:space="0" w:color="auto" w:frame="1"/>
              </w:rPr>
              <w:t>备注</w:t>
            </w:r>
          </w:p>
        </w:tc>
        <w:tc>
          <w:tcPr>
            <w:tcW w:w="7064" w:type="dxa"/>
            <w:gridSpan w:val="2"/>
            <w:vAlign w:val="center"/>
          </w:tcPr>
          <w:p w14:paraId="0A0306B5" w14:textId="521B6BE7" w:rsidR="001266A2" w:rsidRPr="00CD34B2" w:rsidRDefault="006C1139" w:rsidP="004106BA">
            <w:pPr>
              <w:rPr>
                <w:rFonts w:ascii="宋体" w:hAnsi="宋体"/>
                <w:bCs/>
                <w:color w:val="000000"/>
                <w:sz w:val="24"/>
                <w:szCs w:val="24"/>
              </w:rPr>
            </w:pPr>
            <w:r w:rsidRPr="00CD34B2">
              <w:rPr>
                <w:rFonts w:ascii="宋体" w:hAnsi="宋体" w:hint="eastAsia"/>
                <w:b/>
                <w:color w:val="000000"/>
                <w:sz w:val="24"/>
                <w:szCs w:val="24"/>
              </w:rPr>
              <w:t>混合</w:t>
            </w:r>
            <w:r w:rsidRPr="00CD34B2">
              <w:rPr>
                <w:rFonts w:ascii="宋体" w:hAnsi="宋体" w:cs="宋体" w:hint="eastAsia"/>
                <w:b/>
                <w:color w:val="333333"/>
                <w:kern w:val="0"/>
                <w:sz w:val="24"/>
                <w:szCs w:val="24"/>
                <w:bdr w:val="none" w:sz="0" w:space="0" w:color="auto" w:frame="1"/>
              </w:rPr>
              <w:t>集中</w:t>
            </w:r>
            <w:r w:rsidR="001266A2" w:rsidRPr="00CD34B2">
              <w:rPr>
                <w:rFonts w:ascii="宋体" w:hAnsi="宋体"/>
                <w:bCs/>
                <w:color w:val="000000"/>
                <w:sz w:val="24"/>
                <w:szCs w:val="24"/>
              </w:rPr>
              <w:t>：</w:t>
            </w:r>
          </w:p>
          <w:p w14:paraId="7C1FB707" w14:textId="142784AA" w:rsidR="001266A2" w:rsidRPr="00CD34B2" w:rsidRDefault="001266A2" w:rsidP="004106BA">
            <w:pPr>
              <w:rPr>
                <w:rFonts w:ascii="宋体" w:hAnsi="宋体"/>
                <w:bCs/>
                <w:color w:val="000000"/>
                <w:sz w:val="24"/>
                <w:szCs w:val="24"/>
              </w:rPr>
            </w:pPr>
            <w:r w:rsidRPr="00CD34B2">
              <w:rPr>
                <w:rFonts w:ascii="宋体" w:hAnsi="宋体" w:hint="eastAsia"/>
                <w:bCs/>
                <w:color w:val="000000"/>
                <w:sz w:val="24"/>
                <w:szCs w:val="24"/>
              </w:rPr>
              <w:t>2</w:t>
            </w:r>
            <w:r w:rsidRPr="00CD34B2">
              <w:rPr>
                <w:rFonts w:ascii="宋体" w:hAnsi="宋体"/>
                <w:bCs/>
                <w:color w:val="000000"/>
                <w:sz w:val="24"/>
                <w:szCs w:val="24"/>
              </w:rPr>
              <w:t>02</w:t>
            </w:r>
            <w:r w:rsidR="006C1139" w:rsidRPr="00CD34B2">
              <w:rPr>
                <w:rFonts w:ascii="宋体" w:hAnsi="宋体"/>
                <w:bCs/>
                <w:color w:val="000000"/>
                <w:sz w:val="24"/>
                <w:szCs w:val="24"/>
              </w:rPr>
              <w:t>2</w:t>
            </w:r>
            <w:r w:rsidRPr="00CD34B2">
              <w:rPr>
                <w:rFonts w:ascii="宋体" w:hAnsi="宋体" w:hint="eastAsia"/>
                <w:bCs/>
                <w:color w:val="000000"/>
                <w:sz w:val="24"/>
                <w:szCs w:val="24"/>
              </w:rPr>
              <w:t>年中国境内电力生产和供应市场</w:t>
            </w:r>
          </w:p>
          <w:p w14:paraId="47332786" w14:textId="125A89DE" w:rsidR="004463D3" w:rsidRPr="00CD34B2" w:rsidRDefault="001266A2" w:rsidP="004F24B0">
            <w:pPr>
              <w:rPr>
                <w:rFonts w:ascii="宋体" w:hAnsi="宋体" w:cs="宋体"/>
                <w:color w:val="333333"/>
                <w:kern w:val="0"/>
                <w:sz w:val="24"/>
                <w:szCs w:val="24"/>
                <w:bdr w:val="none" w:sz="0" w:space="0" w:color="auto" w:frame="1"/>
              </w:rPr>
            </w:pPr>
            <w:r w:rsidRPr="00CD34B2">
              <w:rPr>
                <w:rFonts w:ascii="宋体" w:hAnsi="宋体" w:hint="eastAsia"/>
                <w:bCs/>
                <w:color w:val="000000"/>
                <w:sz w:val="24"/>
                <w:szCs w:val="24"/>
              </w:rPr>
              <w:t>海螺新能源：</w:t>
            </w:r>
            <w:r w:rsidRPr="00CD34B2">
              <w:rPr>
                <w:rFonts w:ascii="宋体" w:hAnsi="宋体"/>
                <w:bCs/>
                <w:color w:val="000000"/>
                <w:sz w:val="24"/>
                <w:szCs w:val="24"/>
              </w:rPr>
              <w:t>0-5%</w:t>
            </w:r>
            <w:bookmarkStart w:id="0" w:name="_GoBack"/>
            <w:bookmarkEnd w:id="0"/>
          </w:p>
        </w:tc>
      </w:tr>
    </w:tbl>
    <w:p w14:paraId="35BE250B" w14:textId="58EF6ABD" w:rsidR="005D0C08" w:rsidRPr="00CB00DF" w:rsidRDefault="005D0C08" w:rsidP="005D0C08"/>
    <w:sectPr w:rsidR="005D0C08" w:rsidRPr="00CB00DF"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7ED6" w14:textId="77777777" w:rsidR="00CE0D27" w:rsidRDefault="00CE0D27" w:rsidP="00165C29">
      <w:r>
        <w:separator/>
      </w:r>
    </w:p>
  </w:endnote>
  <w:endnote w:type="continuationSeparator" w:id="0">
    <w:p w14:paraId="0EDA5C40" w14:textId="77777777" w:rsidR="00CE0D27" w:rsidRDefault="00CE0D27" w:rsidP="0016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fixed"/>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03A1D" w14:textId="77777777" w:rsidR="00CE0D27" w:rsidRDefault="00CE0D27" w:rsidP="00165C29">
      <w:r>
        <w:separator/>
      </w:r>
    </w:p>
  </w:footnote>
  <w:footnote w:type="continuationSeparator" w:id="0">
    <w:p w14:paraId="21008A3B" w14:textId="77777777" w:rsidR="00CE0D27" w:rsidRDefault="00CE0D27" w:rsidP="0016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1251"/>
    <w:rsid w:val="00025708"/>
    <w:rsid w:val="00037065"/>
    <w:rsid w:val="000711DE"/>
    <w:rsid w:val="00076F29"/>
    <w:rsid w:val="0009139C"/>
    <w:rsid w:val="000D7EBA"/>
    <w:rsid w:val="001164CD"/>
    <w:rsid w:val="001266A2"/>
    <w:rsid w:val="001362BF"/>
    <w:rsid w:val="00136524"/>
    <w:rsid w:val="00155717"/>
    <w:rsid w:val="001571C6"/>
    <w:rsid w:val="00161791"/>
    <w:rsid w:val="00165C29"/>
    <w:rsid w:val="001837A3"/>
    <w:rsid w:val="001A4941"/>
    <w:rsid w:val="001A5371"/>
    <w:rsid w:val="001B1121"/>
    <w:rsid w:val="002017FC"/>
    <w:rsid w:val="002325AE"/>
    <w:rsid w:val="00274BC9"/>
    <w:rsid w:val="00282320"/>
    <w:rsid w:val="002B1C59"/>
    <w:rsid w:val="002F7975"/>
    <w:rsid w:val="00315254"/>
    <w:rsid w:val="003836E4"/>
    <w:rsid w:val="003A2152"/>
    <w:rsid w:val="003C0AEB"/>
    <w:rsid w:val="004106BA"/>
    <w:rsid w:val="004463D3"/>
    <w:rsid w:val="00451958"/>
    <w:rsid w:val="004861A8"/>
    <w:rsid w:val="004E4823"/>
    <w:rsid w:val="004F24B0"/>
    <w:rsid w:val="004F7688"/>
    <w:rsid w:val="00543EAD"/>
    <w:rsid w:val="00572A7E"/>
    <w:rsid w:val="00586D77"/>
    <w:rsid w:val="00587A7A"/>
    <w:rsid w:val="005B7CE8"/>
    <w:rsid w:val="005C20F5"/>
    <w:rsid w:val="005D0C08"/>
    <w:rsid w:val="005F425C"/>
    <w:rsid w:val="00606AB9"/>
    <w:rsid w:val="006467D8"/>
    <w:rsid w:val="00653538"/>
    <w:rsid w:val="00677640"/>
    <w:rsid w:val="00690595"/>
    <w:rsid w:val="00694651"/>
    <w:rsid w:val="006A531B"/>
    <w:rsid w:val="006C1139"/>
    <w:rsid w:val="006F7693"/>
    <w:rsid w:val="00710140"/>
    <w:rsid w:val="007212CE"/>
    <w:rsid w:val="00740B23"/>
    <w:rsid w:val="0079381D"/>
    <w:rsid w:val="007F2275"/>
    <w:rsid w:val="00844FE2"/>
    <w:rsid w:val="00865634"/>
    <w:rsid w:val="00892033"/>
    <w:rsid w:val="008A23D7"/>
    <w:rsid w:val="008B1C95"/>
    <w:rsid w:val="008E738F"/>
    <w:rsid w:val="00915F0F"/>
    <w:rsid w:val="009532DF"/>
    <w:rsid w:val="00971321"/>
    <w:rsid w:val="00996A24"/>
    <w:rsid w:val="00997019"/>
    <w:rsid w:val="009A5029"/>
    <w:rsid w:val="009B573A"/>
    <w:rsid w:val="009D38D5"/>
    <w:rsid w:val="009F14E0"/>
    <w:rsid w:val="009F5992"/>
    <w:rsid w:val="00A06A4C"/>
    <w:rsid w:val="00A53F26"/>
    <w:rsid w:val="00A559EE"/>
    <w:rsid w:val="00A846AB"/>
    <w:rsid w:val="00AA0CC5"/>
    <w:rsid w:val="00AB66FA"/>
    <w:rsid w:val="00AC36B2"/>
    <w:rsid w:val="00AD1E34"/>
    <w:rsid w:val="00AD6005"/>
    <w:rsid w:val="00B05347"/>
    <w:rsid w:val="00B16AFE"/>
    <w:rsid w:val="00B2095B"/>
    <w:rsid w:val="00B31DB2"/>
    <w:rsid w:val="00B65DD5"/>
    <w:rsid w:val="00B734B4"/>
    <w:rsid w:val="00B936DA"/>
    <w:rsid w:val="00BB6A2F"/>
    <w:rsid w:val="00BD10B6"/>
    <w:rsid w:val="00C02B17"/>
    <w:rsid w:val="00C07076"/>
    <w:rsid w:val="00CB00DF"/>
    <w:rsid w:val="00CD34B2"/>
    <w:rsid w:val="00CD6322"/>
    <w:rsid w:val="00CE0D27"/>
    <w:rsid w:val="00CF4EA7"/>
    <w:rsid w:val="00D107B1"/>
    <w:rsid w:val="00D6217D"/>
    <w:rsid w:val="00D73C72"/>
    <w:rsid w:val="00D97591"/>
    <w:rsid w:val="00E0592B"/>
    <w:rsid w:val="00E31738"/>
    <w:rsid w:val="00E52E1B"/>
    <w:rsid w:val="00E86786"/>
    <w:rsid w:val="00EA2B14"/>
    <w:rsid w:val="00EA3746"/>
    <w:rsid w:val="00EB6093"/>
    <w:rsid w:val="00ED2F80"/>
    <w:rsid w:val="00ED4F85"/>
    <w:rsid w:val="00EF324F"/>
    <w:rsid w:val="00F1624E"/>
    <w:rsid w:val="00F2568A"/>
    <w:rsid w:val="00F32F8A"/>
    <w:rsid w:val="00F73B31"/>
    <w:rsid w:val="00F74D69"/>
    <w:rsid w:val="00F810AA"/>
    <w:rsid w:val="00FB02E5"/>
    <w:rsid w:val="00FB43EC"/>
    <w:rsid w:val="00FB6B40"/>
    <w:rsid w:val="00FD1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84813"/>
  <w15:docId w15:val="{40F231A4-9359-4140-B102-80B79697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C2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165C29"/>
    <w:rPr>
      <w:rFonts w:ascii="Calibri" w:eastAsia="宋体" w:hAnsi="Calibri" w:cs="Times New Roman"/>
      <w:sz w:val="18"/>
      <w:szCs w:val="18"/>
    </w:rPr>
  </w:style>
  <w:style w:type="paragraph" w:styleId="a5">
    <w:name w:val="footer"/>
    <w:basedOn w:val="a"/>
    <w:link w:val="a6"/>
    <w:uiPriority w:val="99"/>
    <w:unhideWhenUsed/>
    <w:rsid w:val="00165C29"/>
    <w:pPr>
      <w:tabs>
        <w:tab w:val="center" w:pos="4153"/>
        <w:tab w:val="right" w:pos="8306"/>
      </w:tabs>
      <w:snapToGrid w:val="0"/>
      <w:jc w:val="left"/>
    </w:pPr>
    <w:rPr>
      <w:sz w:val="18"/>
      <w:szCs w:val="18"/>
    </w:rPr>
  </w:style>
  <w:style w:type="character" w:customStyle="1" w:styleId="a6">
    <w:name w:val="页脚字符"/>
    <w:basedOn w:val="a0"/>
    <w:link w:val="a5"/>
    <w:uiPriority w:val="99"/>
    <w:rsid w:val="00165C29"/>
    <w:rPr>
      <w:rFonts w:ascii="Calibri" w:eastAsia="宋体" w:hAnsi="Calibri" w:cs="Times New Roman"/>
      <w:sz w:val="18"/>
      <w:szCs w:val="18"/>
    </w:rPr>
  </w:style>
  <w:style w:type="paragraph" w:styleId="a7">
    <w:name w:val="Balloon Text"/>
    <w:basedOn w:val="a"/>
    <w:link w:val="a8"/>
    <w:uiPriority w:val="99"/>
    <w:semiHidden/>
    <w:unhideWhenUsed/>
    <w:rsid w:val="005C20F5"/>
    <w:rPr>
      <w:sz w:val="18"/>
      <w:szCs w:val="18"/>
    </w:rPr>
  </w:style>
  <w:style w:type="character" w:customStyle="1" w:styleId="a8">
    <w:name w:val="批注框文本字符"/>
    <w:basedOn w:val="a0"/>
    <w:link w:val="a7"/>
    <w:uiPriority w:val="99"/>
    <w:semiHidden/>
    <w:rsid w:val="005C20F5"/>
    <w:rPr>
      <w:rFonts w:ascii="Calibri" w:eastAsia="宋体" w:hAnsi="Calibri" w:cs="Times New Roman"/>
      <w:sz w:val="18"/>
      <w:szCs w:val="18"/>
    </w:rPr>
  </w:style>
  <w:style w:type="character" w:styleId="a9">
    <w:name w:val="annotation reference"/>
    <w:basedOn w:val="a0"/>
    <w:uiPriority w:val="99"/>
    <w:semiHidden/>
    <w:unhideWhenUsed/>
    <w:rsid w:val="00136524"/>
    <w:rPr>
      <w:sz w:val="21"/>
      <w:szCs w:val="21"/>
    </w:rPr>
  </w:style>
  <w:style w:type="paragraph" w:styleId="aa">
    <w:name w:val="annotation text"/>
    <w:basedOn w:val="a"/>
    <w:link w:val="ab"/>
    <w:uiPriority w:val="99"/>
    <w:semiHidden/>
    <w:unhideWhenUsed/>
    <w:rsid w:val="00136524"/>
    <w:pPr>
      <w:jc w:val="left"/>
    </w:pPr>
  </w:style>
  <w:style w:type="character" w:customStyle="1" w:styleId="ab">
    <w:name w:val="批注文字字符"/>
    <w:basedOn w:val="a0"/>
    <w:link w:val="aa"/>
    <w:uiPriority w:val="99"/>
    <w:semiHidden/>
    <w:rsid w:val="00136524"/>
    <w:rPr>
      <w:rFonts w:ascii="Calibri" w:eastAsia="宋体" w:hAnsi="Calibri" w:cs="Times New Roman"/>
    </w:rPr>
  </w:style>
  <w:style w:type="paragraph" w:styleId="ac">
    <w:name w:val="annotation subject"/>
    <w:basedOn w:val="aa"/>
    <w:next w:val="aa"/>
    <w:link w:val="ad"/>
    <w:uiPriority w:val="99"/>
    <w:semiHidden/>
    <w:unhideWhenUsed/>
    <w:rsid w:val="00136524"/>
    <w:rPr>
      <w:b/>
      <w:bCs/>
    </w:rPr>
  </w:style>
  <w:style w:type="character" w:customStyle="1" w:styleId="ad">
    <w:name w:val="批注主题字符"/>
    <w:basedOn w:val="ab"/>
    <w:link w:val="ac"/>
    <w:uiPriority w:val="99"/>
    <w:semiHidden/>
    <w:rsid w:val="00136524"/>
    <w:rPr>
      <w:rFonts w:ascii="Calibri" w:eastAsia="宋体" w:hAnsi="Calibri" w:cs="Times New Roman"/>
      <w:b/>
      <w:bCs/>
    </w:rPr>
  </w:style>
  <w:style w:type="paragraph" w:styleId="ae">
    <w:name w:val="Revision"/>
    <w:hidden/>
    <w:uiPriority w:val="99"/>
    <w:semiHidden/>
    <w:rsid w:val="00C02B17"/>
    <w:rPr>
      <w:rFonts w:ascii="Calibri" w:eastAsia="宋体" w:hAnsi="Calibri" w:cs="Times New Roman"/>
    </w:rPr>
  </w:style>
  <w:style w:type="paragraph" w:styleId="af">
    <w:name w:val="List Paragraph"/>
    <w:basedOn w:val="a"/>
    <w:uiPriority w:val="34"/>
    <w:qFormat/>
    <w:rsid w:val="004463D3"/>
    <w:pPr>
      <w:widowControl/>
      <w:spacing w:after="240"/>
      <w:ind w:left="720"/>
      <w:contextualSpacing/>
    </w:pPr>
    <w:rPr>
      <w:rFonts w:ascii="Times New Roman" w:hAnsi="Times New Roman"/>
      <w:kern w:val="0"/>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8379">
      <w:bodyDiv w:val="1"/>
      <w:marLeft w:val="0"/>
      <w:marRight w:val="0"/>
      <w:marTop w:val="0"/>
      <w:marBottom w:val="0"/>
      <w:divBdr>
        <w:top w:val="none" w:sz="0" w:space="0" w:color="auto"/>
        <w:left w:val="none" w:sz="0" w:space="0" w:color="auto"/>
        <w:bottom w:val="none" w:sz="0" w:space="0" w:color="auto"/>
        <w:right w:val="none" w:sz="0" w:space="0" w:color="auto"/>
      </w:divBdr>
    </w:div>
    <w:div w:id="584219206">
      <w:bodyDiv w:val="1"/>
      <w:marLeft w:val="0"/>
      <w:marRight w:val="0"/>
      <w:marTop w:val="0"/>
      <w:marBottom w:val="0"/>
      <w:divBdr>
        <w:top w:val="none" w:sz="0" w:space="0" w:color="auto"/>
        <w:left w:val="none" w:sz="0" w:space="0" w:color="auto"/>
        <w:bottom w:val="none" w:sz="0" w:space="0" w:color="auto"/>
        <w:right w:val="none" w:sz="0" w:space="0" w:color="auto"/>
      </w:divBdr>
      <w:divsChild>
        <w:div w:id="2139254449">
          <w:marLeft w:val="0"/>
          <w:marRight w:val="0"/>
          <w:marTop w:val="0"/>
          <w:marBottom w:val="0"/>
          <w:divBdr>
            <w:top w:val="none" w:sz="0" w:space="0" w:color="auto"/>
            <w:left w:val="none" w:sz="0" w:space="0" w:color="auto"/>
            <w:bottom w:val="none" w:sz="0" w:space="0" w:color="auto"/>
            <w:right w:val="none" w:sz="0" w:space="0" w:color="auto"/>
          </w:divBdr>
          <w:divsChild>
            <w:div w:id="1095593047">
              <w:marLeft w:val="0"/>
              <w:marRight w:val="0"/>
              <w:marTop w:val="0"/>
              <w:marBottom w:val="0"/>
              <w:divBdr>
                <w:top w:val="none" w:sz="0" w:space="0" w:color="auto"/>
                <w:left w:val="none" w:sz="0" w:space="0" w:color="auto"/>
                <w:bottom w:val="none" w:sz="0" w:space="0" w:color="auto"/>
                <w:right w:val="none" w:sz="0" w:space="0" w:color="auto"/>
              </w:divBdr>
              <w:divsChild>
                <w:div w:id="683478118">
                  <w:marLeft w:val="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文档" ma:contentTypeID="0x0101008EE5355E95043B448535C802F453CEB0" ma:contentTypeVersion="0" ma:contentTypeDescription="新建文档。" ma:contentTypeScope="" ma:versionID="5679587071bee4a3745974bb2a030fa2">
  <xsd:schema xmlns:xsd="http://www.w3.org/2001/XMLSchema" xmlns:xs="http://www.w3.org/2001/XMLSchema" xmlns:p="http://schemas.microsoft.com/office/2006/metadata/properties" xmlns:ns2="05085554-0ffa-4eaf-947a-36c3b366e666" targetNamespace="http://schemas.microsoft.com/office/2006/metadata/properties" ma:root="true" ma:fieldsID="b68532f5231ee06e716e13fba087e94a" ns2:_="">
    <xsd:import namespace="05085554-0ffa-4eaf-947a-36c3b366e6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85554-0ffa-4eaf-947a-36c3b366e666"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085554-0ffa-4eaf-947a-36c3b366e666">U7MTSZU7ZE52-15669-32</_dlc_DocId>
    <_dlc_DocIdUrl xmlns="05085554-0ffa-4eaf-947a-36c3b366e666">
      <Url>https://sp.zhonglun.com/sites/document10/NonViolation/_layouts/DocIdRedir.aspx?ID=U7MTSZU7ZE52-15669-32</Url>
      <Description>U7MTSZU7ZE52-15669-32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EA2C3-2940-48A7-964F-16B59F7063ED}">
  <ds:schemaRefs>
    <ds:schemaRef ds:uri="http://schemas.microsoft.com/sharepoint/events"/>
  </ds:schemaRefs>
</ds:datastoreItem>
</file>

<file path=customXml/itemProps2.xml><?xml version="1.0" encoding="utf-8"?>
<ds:datastoreItem xmlns:ds="http://schemas.openxmlformats.org/officeDocument/2006/customXml" ds:itemID="{63FBA0D7-D31F-4C11-9E47-C501D944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85554-0ffa-4eaf-947a-36c3b366e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E08A5-B7ED-4171-A28B-03ACF58EF09F}">
  <ds:schemaRefs>
    <ds:schemaRef ds:uri="http://schemas.microsoft.com/office/2006/metadata/properties"/>
    <ds:schemaRef ds:uri="http://schemas.microsoft.com/office/infopath/2007/PartnerControls"/>
    <ds:schemaRef ds:uri="05085554-0ffa-4eaf-947a-36c3b366e666"/>
  </ds:schemaRefs>
</ds:datastoreItem>
</file>

<file path=customXml/itemProps4.xml><?xml version="1.0" encoding="utf-8"?>
<ds:datastoreItem xmlns:ds="http://schemas.openxmlformats.org/officeDocument/2006/customXml" ds:itemID="{B65D946F-5950-48C2-B7F6-78B2B3CDD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Macintosh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1044290845@qq.com</cp:lastModifiedBy>
  <cp:revision>2</cp:revision>
  <dcterms:created xsi:type="dcterms:W3CDTF">2023-12-11T03:04:00Z</dcterms:created>
  <dcterms:modified xsi:type="dcterms:W3CDTF">2023-12-11T03:04:00Z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05c0c60a-1fd4-4f30-ae67-cad62b74d362</vt:lpwstr>
  </property>
  <property fmtid="{D5CDD505-2E9C-101B-9397-08002B2CF9AE}" pid="3" name="ContentTypeId">
    <vt:lpwstr>0x0101008EE5355E95043B448535C802F453CEB0</vt:lpwstr>
  </property>
</Properties>
</file>