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_GB2312" w:cs="Times New Roman"/>
          <w:bCs w:val="0"/>
          <w:color w:val="000000"/>
          <w:kern w:val="2"/>
          <w:sz w:val="32"/>
          <w:szCs w:val="32"/>
          <w:lang w:val="en-US" w:eastAsia="zh-CN" w:bidi="ar-SA"/>
        </w:rPr>
      </w:pPr>
      <w:bookmarkStart w:id="0" w:name="_GoBack"/>
      <w:r>
        <w:rPr>
          <w:rFonts w:ascii="黑体" w:hAnsi="黑体" w:eastAsia="黑体" w:cs="黑体"/>
          <w:bCs/>
          <w:sz w:val="36"/>
          <w:szCs w:val="36"/>
        </w:rPr>
        <w:t>经营者集中简易案件公示表</w:t>
      </w:r>
    </w:p>
    <w:bookmarkEnd w:id="0"/>
    <w:tbl>
      <w:tblPr>
        <w:tblStyle w:val="5"/>
        <w:tblW w:w="9640"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940" w:type="dxa"/>
            <w:shd w:val="clear" w:color="auto" w:fill="D9D9D9"/>
            <w:noWrap w:val="0"/>
            <w:vAlign w:val="center"/>
          </w:tcPr>
          <w:p>
            <w:pPr>
              <w:pStyle w:val="3"/>
              <w:adjustRightInd w:val="0"/>
              <w:snapToGrid w:val="0"/>
              <w:spacing w:after="0"/>
              <w:rPr>
                <w:rFonts w:cs="Times New Roman"/>
                <w:bCs/>
                <w:color w:val="000000"/>
                <w:lang w:val="en-US"/>
              </w:rPr>
            </w:pPr>
            <w:r>
              <w:rPr>
                <w:rFonts w:cs="Times New Roman"/>
                <w:bCs/>
                <w:color w:val="000000"/>
              </w:rPr>
              <w:t>案件名称</w:t>
            </w:r>
          </w:p>
        </w:tc>
        <w:tc>
          <w:tcPr>
            <w:tcW w:w="7700" w:type="dxa"/>
            <w:gridSpan w:val="2"/>
            <w:noWrap w:val="0"/>
            <w:vAlign w:val="center"/>
          </w:tcPr>
          <w:p>
            <w:pPr>
              <w:adjustRightInd w:val="0"/>
              <w:snapToGrid w:val="0"/>
              <w:spacing w:after="0"/>
              <w:rPr>
                <w:bCs/>
                <w:color w:val="000000"/>
                <w:lang w:val="en-US"/>
              </w:rPr>
            </w:pPr>
            <w:r>
              <w:rPr>
                <w:bCs/>
                <w:color w:val="000000"/>
                <w:lang w:val="en-US"/>
              </w:rPr>
              <w:t>堡泉（广州）物业管理有限公司与广州珠江产业园投资发展有限公司新设合营企业案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940" w:type="dxa"/>
            <w:shd w:val="clear" w:color="auto" w:fill="D9D9D9"/>
            <w:noWrap w:val="0"/>
            <w:vAlign w:val="center"/>
          </w:tcPr>
          <w:p>
            <w:pPr>
              <w:pStyle w:val="3"/>
              <w:adjustRightInd w:val="0"/>
              <w:snapToGrid w:val="0"/>
              <w:spacing w:after="0"/>
              <w:rPr>
                <w:rFonts w:cs="Times New Roman"/>
                <w:bCs/>
                <w:color w:val="000000"/>
                <w:lang w:val="en-US" w:eastAsia="zh-CN"/>
              </w:rPr>
            </w:pPr>
            <w:r>
              <w:rPr>
                <w:rFonts w:cs="Times New Roman"/>
                <w:bCs/>
                <w:color w:val="000000"/>
                <w:lang w:eastAsia="zh-CN"/>
              </w:rPr>
              <w:t>交易概况（限200字内）</w:t>
            </w:r>
          </w:p>
        </w:tc>
        <w:tc>
          <w:tcPr>
            <w:tcW w:w="7700" w:type="dxa"/>
            <w:gridSpan w:val="2"/>
            <w:noWrap w:val="0"/>
            <w:vAlign w:val="center"/>
          </w:tcPr>
          <w:p>
            <w:pPr>
              <w:widowControl w:val="0"/>
              <w:adjustRightInd w:val="0"/>
              <w:snapToGrid w:val="0"/>
              <w:spacing w:after="0"/>
              <w:rPr>
                <w:rFonts w:hint="eastAsia"/>
                <w:bCs/>
                <w:color w:val="000000"/>
              </w:rPr>
            </w:pPr>
            <w:r>
              <w:rPr>
                <w:rFonts w:hint="eastAsia"/>
              </w:rPr>
              <w:t>2022年，堡泉（广州）物业管理有限公司（“堡泉广州”）与广州珠江产业园投资发展有限公司（“珠江产投”）订立协议，在中国境内成立一家合营企业，从事建筑工程咨询服务，并承诺在合营企业存续期内不会变更经营范围，向国家市场监督管理总局进行申报后取得无条件批准。交易后，合营企业拟变更其业务经营范围，主要从事商业物业管理服务，将与合营双方存在横向重叠与纵向关系。根据相关规定，合营双方进行重新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1940" w:type="dxa"/>
            <w:vMerge w:val="restart"/>
            <w:shd w:val="clear" w:color="auto" w:fill="D9D9D9"/>
            <w:noWrap w:val="0"/>
            <w:vAlign w:val="center"/>
          </w:tcPr>
          <w:p>
            <w:pPr>
              <w:pStyle w:val="3"/>
              <w:adjustRightInd w:val="0"/>
              <w:snapToGrid w:val="0"/>
              <w:spacing w:after="0"/>
              <w:rPr>
                <w:rFonts w:cs="Times New Roman"/>
                <w:bCs/>
                <w:color w:val="000000"/>
                <w:lang w:val="en-US" w:eastAsia="zh-CN"/>
              </w:rPr>
            </w:pPr>
            <w:r>
              <w:rPr>
                <w:rFonts w:cs="Times New Roman"/>
                <w:bCs/>
                <w:color w:val="000000"/>
                <w:lang w:eastAsia="zh-CN"/>
              </w:rPr>
              <w:t>参与集中的经营者简介（每个限</w:t>
            </w:r>
            <w:r>
              <w:rPr>
                <w:rFonts w:cs="Times New Roman"/>
                <w:bCs/>
                <w:color w:val="000000"/>
                <w:lang w:val="en-US" w:eastAsia="zh-CN"/>
              </w:rPr>
              <w:t>100字以内</w:t>
            </w:r>
            <w:r>
              <w:rPr>
                <w:rFonts w:cs="Times New Roman"/>
                <w:bCs/>
                <w:color w:val="000000"/>
                <w:lang w:eastAsia="zh-CN"/>
              </w:rPr>
              <w:t>）</w:t>
            </w:r>
          </w:p>
        </w:tc>
        <w:tc>
          <w:tcPr>
            <w:tcW w:w="1607" w:type="dxa"/>
            <w:noWrap w:val="0"/>
            <w:vAlign w:val="center"/>
          </w:tcPr>
          <w:p>
            <w:pPr>
              <w:pStyle w:val="3"/>
              <w:adjustRightInd w:val="0"/>
              <w:snapToGrid w:val="0"/>
              <w:spacing w:after="0"/>
              <w:rPr>
                <w:rFonts w:cs="Times New Roman"/>
                <w:bCs/>
                <w:color w:val="000000"/>
                <w:lang w:eastAsia="zh-CN"/>
              </w:rPr>
            </w:pPr>
            <w:r>
              <w:rPr>
                <w:rFonts w:cs="Times New Roman"/>
                <w:bCs/>
                <w:color w:val="000000"/>
                <w:lang w:val="en-US" w:eastAsia="zh-CN"/>
              </w:rPr>
              <w:t>1.</w:t>
            </w:r>
            <w:r>
              <w:rPr>
                <w:rFonts w:cs="Times New Roman"/>
                <w:bCs/>
                <w:color w:val="000000"/>
                <w:lang w:eastAsia="zh-CN"/>
              </w:rPr>
              <w:t>堡泉广州</w:t>
            </w:r>
          </w:p>
        </w:tc>
        <w:tc>
          <w:tcPr>
            <w:tcW w:w="6093" w:type="dxa"/>
            <w:noWrap w:val="0"/>
            <w:vAlign w:val="center"/>
          </w:tcPr>
          <w:p>
            <w:pPr>
              <w:pStyle w:val="3"/>
              <w:adjustRightInd w:val="0"/>
              <w:snapToGrid w:val="0"/>
              <w:spacing w:after="0"/>
              <w:rPr>
                <w:rFonts w:cs="Times New Roman"/>
                <w:lang w:eastAsia="zh-CN"/>
              </w:rPr>
            </w:pPr>
            <w:r>
              <w:rPr>
                <w:rFonts w:cs="Times New Roman"/>
                <w:lang w:eastAsia="zh-CN"/>
              </w:rPr>
              <w:t>堡泉广州于2005年7月11日成立于中国广东省，主要从事自有房地产经营活动、物业管理和场地租赁。</w:t>
            </w:r>
          </w:p>
          <w:p>
            <w:pPr>
              <w:pStyle w:val="3"/>
              <w:adjustRightInd w:val="0"/>
              <w:snapToGrid w:val="0"/>
              <w:spacing w:after="0"/>
              <w:rPr>
                <w:rFonts w:cs="Times New Roman"/>
                <w:bCs/>
                <w:color w:val="000000"/>
                <w:lang w:eastAsia="zh-CN"/>
              </w:rPr>
            </w:pPr>
            <w:r>
              <w:rPr>
                <w:rFonts w:cs="Times New Roman"/>
                <w:lang w:eastAsia="zh-CN"/>
              </w:rPr>
              <w:t>堡泉广州的最终控制人为太古股份有限公司，</w:t>
            </w:r>
            <w:r>
              <w:rPr>
                <w:rFonts w:hint="eastAsia" w:cs="Times New Roman"/>
                <w:lang w:eastAsia="zh-CN"/>
              </w:rPr>
              <w:t>为香港上市公司，</w:t>
            </w:r>
            <w:r>
              <w:rPr>
                <w:rFonts w:cs="Times New Roman"/>
                <w:lang w:eastAsia="zh-CN"/>
              </w:rPr>
              <w:t>主要</w:t>
            </w:r>
            <w:r>
              <w:rPr>
                <w:rFonts w:hint="eastAsia" w:cs="Times New Roman"/>
                <w:lang w:eastAsia="zh-CN"/>
              </w:rPr>
              <w:t>从事</w:t>
            </w:r>
            <w:r>
              <w:rPr>
                <w:rFonts w:cs="Times New Roman"/>
                <w:lang w:eastAsia="zh-CN"/>
              </w:rPr>
              <w:t>地产、饮料</w:t>
            </w:r>
            <w:r>
              <w:rPr>
                <w:rFonts w:hint="eastAsia" w:cs="Times New Roman"/>
                <w:lang w:eastAsia="zh-CN"/>
              </w:rPr>
              <w:t>及航空业务以及医疗保健和可持续食品等新领域的</w:t>
            </w:r>
            <w:r>
              <w:rPr>
                <w:rFonts w:cs="Times New Roman"/>
                <w:lang w:eastAsia="zh-CN"/>
              </w:rPr>
              <w:t>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1940" w:type="dxa"/>
            <w:vMerge w:val="continue"/>
            <w:shd w:val="clear" w:color="auto" w:fill="D9D9D9"/>
            <w:noWrap w:val="0"/>
            <w:vAlign w:val="center"/>
          </w:tcPr>
          <w:p>
            <w:pPr>
              <w:pStyle w:val="3"/>
              <w:adjustRightInd w:val="0"/>
              <w:snapToGrid w:val="0"/>
              <w:spacing w:after="0"/>
              <w:rPr>
                <w:rFonts w:cs="Times New Roman"/>
                <w:bCs/>
                <w:color w:val="000000"/>
                <w:lang w:val="en-US" w:eastAsia="zh-CN"/>
              </w:rPr>
            </w:pPr>
          </w:p>
        </w:tc>
        <w:tc>
          <w:tcPr>
            <w:tcW w:w="1607" w:type="dxa"/>
            <w:noWrap w:val="0"/>
            <w:vAlign w:val="center"/>
          </w:tcPr>
          <w:p>
            <w:pPr>
              <w:pStyle w:val="3"/>
              <w:adjustRightInd w:val="0"/>
              <w:snapToGrid w:val="0"/>
              <w:spacing w:after="0"/>
              <w:rPr>
                <w:rFonts w:hint="eastAsia" w:cs="Times New Roman"/>
                <w:bCs/>
                <w:color w:val="000000"/>
                <w:lang w:eastAsia="zh-CN"/>
              </w:rPr>
            </w:pPr>
            <w:r>
              <w:rPr>
                <w:rFonts w:cs="Times New Roman"/>
                <w:bCs/>
                <w:color w:val="000000"/>
                <w:lang w:val="en-US" w:eastAsia="zh-CN"/>
              </w:rPr>
              <w:t>2.</w:t>
            </w:r>
            <w:r>
              <w:rPr>
                <w:rFonts w:cs="Times New Roman"/>
                <w:bCs/>
                <w:color w:val="000000"/>
                <w:lang w:eastAsia="zh-CN"/>
              </w:rPr>
              <w:t>珠江产投</w:t>
            </w:r>
          </w:p>
        </w:tc>
        <w:tc>
          <w:tcPr>
            <w:tcW w:w="6093" w:type="dxa"/>
            <w:noWrap w:val="0"/>
            <w:vAlign w:val="center"/>
          </w:tcPr>
          <w:p>
            <w:pPr>
              <w:adjustRightInd w:val="0"/>
              <w:snapToGrid w:val="0"/>
              <w:spacing w:after="0"/>
            </w:pPr>
            <w:r>
              <w:t>珠江产投于2020年6月5日成立于中国广东省，主要从事房地产投资、招商、开发建设和经营等业务。</w:t>
            </w:r>
          </w:p>
          <w:p>
            <w:pPr>
              <w:adjustRightInd w:val="0"/>
              <w:snapToGrid w:val="0"/>
              <w:spacing w:after="0"/>
              <w:rPr>
                <w:bCs/>
                <w:color w:val="000000"/>
              </w:rPr>
            </w:pPr>
            <w:r>
              <w:t>珠江产投的最终控制人为广州珠江实业集团有限公司，主要从事城市建设与开发、产业园区投融资与开发建设运营</w:t>
            </w:r>
            <w:r>
              <w:rPr>
                <w:rFonts w:hint="eastAsia"/>
              </w:rPr>
              <w:t>等</w:t>
            </w:r>
            <w:r>
              <w:t>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940" w:type="dxa"/>
            <w:vMerge w:val="restart"/>
            <w:shd w:val="clear" w:color="auto" w:fill="D9D9D9"/>
            <w:noWrap w:val="0"/>
            <w:vAlign w:val="center"/>
          </w:tcPr>
          <w:p>
            <w:pPr>
              <w:pStyle w:val="3"/>
              <w:adjustRightInd w:val="0"/>
              <w:snapToGrid w:val="0"/>
              <w:spacing w:after="0"/>
              <w:rPr>
                <w:rFonts w:cs="Times New Roman"/>
                <w:bCs/>
                <w:color w:val="000000"/>
                <w:lang w:val="en-US" w:eastAsia="zh-CN"/>
              </w:rPr>
            </w:pPr>
            <w:r>
              <w:rPr>
                <w:rFonts w:cs="Times New Roman"/>
                <w:bCs/>
                <w:color w:val="000000"/>
                <w:lang w:eastAsia="zh-CN"/>
              </w:rPr>
              <w:t>简易案件理由（可以单选，也可以多选）</w:t>
            </w:r>
          </w:p>
        </w:tc>
        <w:tc>
          <w:tcPr>
            <w:tcW w:w="7700" w:type="dxa"/>
            <w:gridSpan w:val="2"/>
            <w:noWrap w:val="0"/>
            <w:vAlign w:val="center"/>
          </w:tcPr>
          <w:p>
            <w:pPr>
              <w:pStyle w:val="3"/>
              <w:adjustRightInd w:val="0"/>
              <w:snapToGrid w:val="0"/>
              <w:spacing w:after="0"/>
              <w:rPr>
                <w:rFonts w:cs="Times New Roman"/>
                <w:bCs/>
                <w:color w:val="000000"/>
                <w:lang w:val="en-US" w:eastAsia="zh-CN"/>
              </w:rPr>
            </w:pPr>
            <w:r>
              <w:rPr>
                <w:rFonts w:cs="Times New Roman"/>
                <w:bCs/>
                <w:color w:val="000000"/>
                <w:lang w:eastAsia="zh-CN"/>
              </w:rPr>
              <w:sym w:font="Wingdings" w:char="00FE"/>
            </w:r>
            <w:r>
              <w:rPr>
                <w:rFonts w:cs="Times New Roman"/>
                <w:bCs/>
                <w:color w:val="000000"/>
                <w:lang w:eastAsia="zh-CN"/>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940" w:type="dxa"/>
            <w:vMerge w:val="continue"/>
            <w:shd w:val="clear" w:color="auto" w:fill="D9D9D9"/>
            <w:noWrap w:val="0"/>
            <w:vAlign w:val="center"/>
          </w:tcPr>
          <w:p>
            <w:pPr>
              <w:pStyle w:val="3"/>
              <w:adjustRightInd w:val="0"/>
              <w:snapToGrid w:val="0"/>
              <w:spacing w:after="0"/>
              <w:rPr>
                <w:rFonts w:cs="Times New Roman"/>
                <w:bCs/>
                <w:color w:val="000000"/>
                <w:lang w:val="en-US" w:eastAsia="zh-CN"/>
              </w:rPr>
            </w:pPr>
          </w:p>
        </w:tc>
        <w:tc>
          <w:tcPr>
            <w:tcW w:w="7700" w:type="dxa"/>
            <w:gridSpan w:val="2"/>
            <w:noWrap w:val="0"/>
            <w:vAlign w:val="center"/>
          </w:tcPr>
          <w:p>
            <w:pPr>
              <w:pStyle w:val="3"/>
              <w:adjustRightInd w:val="0"/>
              <w:snapToGrid w:val="0"/>
              <w:spacing w:after="0"/>
              <w:rPr>
                <w:rFonts w:cs="Times New Roman"/>
                <w:bCs/>
                <w:color w:val="000000"/>
                <w:lang w:val="en-US" w:eastAsia="zh-CN"/>
              </w:rPr>
            </w:pPr>
            <w:r>
              <w:rPr>
                <w:rFonts w:cs="Times New Roman"/>
                <w:bCs/>
                <w:color w:val="000000"/>
                <w:lang w:eastAsia="zh-CN"/>
              </w:rPr>
              <w:sym w:font="Wingdings" w:char="00FE"/>
            </w:r>
            <w:r>
              <w:rPr>
                <w:rFonts w:cs="Times New Roman"/>
                <w:bCs/>
                <w:color w:val="000000"/>
                <w:lang w:eastAsia="zh-CN"/>
              </w:rP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40" w:type="dxa"/>
            <w:vMerge w:val="continue"/>
            <w:shd w:val="clear" w:color="auto" w:fill="D9D9D9"/>
            <w:noWrap w:val="0"/>
            <w:vAlign w:val="center"/>
          </w:tcPr>
          <w:p>
            <w:pPr>
              <w:pStyle w:val="3"/>
              <w:adjustRightInd w:val="0"/>
              <w:snapToGrid w:val="0"/>
              <w:spacing w:after="0"/>
              <w:rPr>
                <w:rFonts w:cs="Times New Roman"/>
                <w:bCs/>
                <w:color w:val="000000"/>
                <w:lang w:val="en-US" w:eastAsia="zh-CN"/>
              </w:rPr>
            </w:pPr>
          </w:p>
        </w:tc>
        <w:tc>
          <w:tcPr>
            <w:tcW w:w="7700" w:type="dxa"/>
            <w:gridSpan w:val="2"/>
            <w:noWrap w:val="0"/>
            <w:vAlign w:val="center"/>
          </w:tcPr>
          <w:p>
            <w:pPr>
              <w:pStyle w:val="3"/>
              <w:adjustRightInd w:val="0"/>
              <w:snapToGrid w:val="0"/>
              <w:spacing w:after="0"/>
              <w:rPr>
                <w:rFonts w:cs="Times New Roman"/>
                <w:bCs/>
                <w:color w:val="000000"/>
                <w:lang w:val="en-US" w:eastAsia="zh-CN"/>
              </w:rPr>
            </w:pPr>
            <w:r>
              <w:rPr>
                <w:rFonts w:cs="Times New Roman"/>
                <w:bCs/>
                <w:color w:val="000000"/>
                <w:lang w:eastAsia="zh-CN"/>
              </w:rPr>
              <w:sym w:font="Wingdings" w:char="00A8"/>
            </w:r>
            <w:r>
              <w:rPr>
                <w:rFonts w:cs="Times New Roman"/>
                <w:bCs/>
                <w:color w:val="000000"/>
                <w:lang w:eastAsia="zh-CN"/>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940" w:type="dxa"/>
            <w:vMerge w:val="continue"/>
            <w:shd w:val="clear" w:color="auto" w:fill="D9D9D9"/>
            <w:noWrap w:val="0"/>
            <w:vAlign w:val="center"/>
          </w:tcPr>
          <w:p>
            <w:pPr>
              <w:pStyle w:val="3"/>
              <w:adjustRightInd w:val="0"/>
              <w:snapToGrid w:val="0"/>
              <w:spacing w:after="0"/>
              <w:rPr>
                <w:rFonts w:cs="Times New Roman"/>
                <w:bCs/>
                <w:color w:val="000000"/>
                <w:lang w:val="en-US" w:eastAsia="zh-CN"/>
              </w:rPr>
            </w:pPr>
          </w:p>
        </w:tc>
        <w:tc>
          <w:tcPr>
            <w:tcW w:w="7700" w:type="dxa"/>
            <w:gridSpan w:val="2"/>
            <w:noWrap w:val="0"/>
            <w:vAlign w:val="center"/>
          </w:tcPr>
          <w:p>
            <w:pPr>
              <w:pStyle w:val="3"/>
              <w:adjustRightInd w:val="0"/>
              <w:snapToGrid w:val="0"/>
              <w:spacing w:after="0"/>
              <w:rPr>
                <w:rFonts w:cs="Times New Roman"/>
                <w:bCs/>
                <w:color w:val="000000"/>
                <w:lang w:val="en-US" w:eastAsia="zh-CN"/>
              </w:rPr>
            </w:pPr>
            <w:r>
              <w:rPr>
                <w:rFonts w:cs="Times New Roman"/>
                <w:bCs/>
                <w:color w:val="000000"/>
                <w:lang w:eastAsia="zh-CN"/>
              </w:rPr>
              <w:sym w:font="Wingdings" w:char="00A8"/>
            </w:r>
            <w:r>
              <w:rPr>
                <w:rFonts w:cs="Times New Roman"/>
                <w:bCs/>
                <w:color w:val="000000"/>
                <w:lang w:eastAsia="zh-CN"/>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940" w:type="dxa"/>
            <w:vMerge w:val="continue"/>
            <w:shd w:val="clear" w:color="auto" w:fill="D9D9D9"/>
            <w:noWrap w:val="0"/>
            <w:vAlign w:val="center"/>
          </w:tcPr>
          <w:p>
            <w:pPr>
              <w:pStyle w:val="3"/>
              <w:adjustRightInd w:val="0"/>
              <w:snapToGrid w:val="0"/>
              <w:spacing w:after="0"/>
              <w:rPr>
                <w:rFonts w:cs="Times New Roman"/>
                <w:bCs/>
                <w:color w:val="000000"/>
                <w:lang w:val="en-US" w:eastAsia="zh-CN"/>
              </w:rPr>
            </w:pPr>
          </w:p>
        </w:tc>
        <w:tc>
          <w:tcPr>
            <w:tcW w:w="7700" w:type="dxa"/>
            <w:gridSpan w:val="2"/>
            <w:noWrap w:val="0"/>
            <w:vAlign w:val="center"/>
          </w:tcPr>
          <w:p>
            <w:pPr>
              <w:pStyle w:val="3"/>
              <w:adjustRightInd w:val="0"/>
              <w:snapToGrid w:val="0"/>
              <w:spacing w:after="0"/>
              <w:rPr>
                <w:rFonts w:cs="Times New Roman"/>
                <w:bCs/>
                <w:color w:val="000000"/>
                <w:lang w:val="en-US" w:eastAsia="zh-CN"/>
              </w:rPr>
            </w:pPr>
            <w:r>
              <w:rPr>
                <w:rFonts w:cs="Times New Roman"/>
                <w:bCs/>
                <w:color w:val="000000"/>
                <w:lang w:eastAsia="zh-CN"/>
              </w:rPr>
              <w:sym w:font="Wingdings" w:char="00A8"/>
            </w:r>
            <w:r>
              <w:rPr>
                <w:rFonts w:cs="Times New Roman"/>
                <w:bCs/>
                <w:color w:val="000000"/>
                <w:lang w:eastAsia="zh-CN"/>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40" w:type="dxa"/>
            <w:vMerge w:val="continue"/>
            <w:shd w:val="clear" w:color="auto" w:fill="D9D9D9"/>
            <w:noWrap w:val="0"/>
            <w:vAlign w:val="center"/>
          </w:tcPr>
          <w:p>
            <w:pPr>
              <w:pStyle w:val="3"/>
              <w:adjustRightInd w:val="0"/>
              <w:snapToGrid w:val="0"/>
              <w:spacing w:after="0"/>
              <w:rPr>
                <w:rFonts w:cs="Times New Roman"/>
                <w:bCs/>
                <w:color w:val="000000"/>
                <w:lang w:val="en-US" w:eastAsia="zh-CN"/>
              </w:rPr>
            </w:pPr>
          </w:p>
        </w:tc>
        <w:tc>
          <w:tcPr>
            <w:tcW w:w="7700" w:type="dxa"/>
            <w:gridSpan w:val="2"/>
            <w:noWrap w:val="0"/>
            <w:vAlign w:val="center"/>
          </w:tcPr>
          <w:p>
            <w:pPr>
              <w:pStyle w:val="3"/>
              <w:adjustRightInd w:val="0"/>
              <w:snapToGrid w:val="0"/>
              <w:spacing w:after="0"/>
              <w:rPr>
                <w:rFonts w:cs="Times New Roman"/>
                <w:bCs/>
                <w:color w:val="000000"/>
                <w:lang w:val="en-US" w:eastAsia="zh-CN"/>
              </w:rPr>
            </w:pPr>
            <w:r>
              <w:rPr>
                <w:rFonts w:cs="Times New Roman"/>
                <w:bCs/>
                <w:color w:val="000000"/>
                <w:lang w:eastAsia="zh-CN"/>
              </w:rPr>
              <w:sym w:font="Wingdings" w:char="00A8"/>
            </w:r>
            <w:r>
              <w:rPr>
                <w:rFonts w:cs="Times New Roman"/>
                <w:bCs/>
                <w:color w:val="000000"/>
                <w:lang w:eastAsia="zh-CN"/>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940" w:type="dxa"/>
            <w:shd w:val="clear" w:color="auto" w:fill="D9D9D9"/>
            <w:noWrap w:val="0"/>
            <w:vAlign w:val="center"/>
          </w:tcPr>
          <w:p>
            <w:pPr>
              <w:pStyle w:val="3"/>
              <w:adjustRightInd w:val="0"/>
              <w:snapToGrid w:val="0"/>
              <w:spacing w:after="0"/>
              <w:rPr>
                <w:rFonts w:cs="Times New Roman"/>
                <w:bCs/>
                <w:color w:val="000000"/>
                <w:lang w:val="en-US" w:eastAsia="zh-CN"/>
              </w:rPr>
            </w:pPr>
            <w:r>
              <w:rPr>
                <w:rFonts w:cs="Times New Roman"/>
                <w:bCs/>
                <w:color w:val="000000"/>
                <w:lang w:val="en-US" w:eastAsia="zh-CN"/>
              </w:rPr>
              <w:t>备注</w:t>
            </w:r>
          </w:p>
        </w:tc>
        <w:tc>
          <w:tcPr>
            <w:tcW w:w="7700" w:type="dxa"/>
            <w:gridSpan w:val="2"/>
            <w:noWrap w:val="0"/>
            <w:vAlign w:val="center"/>
          </w:tcPr>
          <w:p>
            <w:pPr>
              <w:pStyle w:val="3"/>
              <w:adjustRightInd w:val="0"/>
              <w:snapToGrid w:val="0"/>
              <w:spacing w:after="0"/>
              <w:rPr>
                <w:rFonts w:cs="Times New Roman"/>
                <w:b/>
                <w:color w:val="000000"/>
                <w:lang w:eastAsia="zh-CN"/>
              </w:rPr>
            </w:pPr>
            <w:r>
              <w:rPr>
                <w:rFonts w:cs="Times New Roman"/>
                <w:b/>
                <w:color w:val="000000"/>
                <w:lang w:eastAsia="zh-CN"/>
              </w:rPr>
              <w:t>横向重叠：</w:t>
            </w:r>
          </w:p>
          <w:p>
            <w:pPr>
              <w:pStyle w:val="3"/>
              <w:adjustRightInd w:val="0"/>
              <w:snapToGrid w:val="0"/>
              <w:spacing w:after="0"/>
              <w:rPr>
                <w:rFonts w:cs="Times New Roman"/>
                <w:bCs/>
                <w:color w:val="000000"/>
                <w:lang w:eastAsia="zh-CN"/>
              </w:rPr>
            </w:pPr>
            <w:r>
              <w:rPr>
                <w:rFonts w:cs="Times New Roman"/>
                <w:bCs/>
                <w:color w:val="000000"/>
                <w:lang w:eastAsia="zh-CN"/>
              </w:rPr>
              <w:t>2022年广州市商业物业管理服务市场：珠江</w:t>
            </w:r>
            <w:r>
              <w:rPr>
                <w:rFonts w:hint="eastAsia" w:cs="Times New Roman"/>
                <w:bCs/>
                <w:color w:val="000000"/>
                <w:lang w:eastAsia="zh-CN"/>
              </w:rPr>
              <w:t>产投</w:t>
            </w:r>
            <w:r>
              <w:rPr>
                <w:rFonts w:cs="Times New Roman"/>
                <w:bCs/>
                <w:color w:val="000000"/>
                <w:lang w:eastAsia="zh-CN"/>
              </w:rPr>
              <w:t>：0-5%</w:t>
            </w:r>
            <w:r>
              <w:rPr>
                <w:rFonts w:hint="eastAsia" w:cs="Times New Roman"/>
                <w:bCs/>
                <w:color w:val="000000"/>
                <w:lang w:eastAsia="zh-CN"/>
              </w:rPr>
              <w:t>；合营企业（预估）：0</w:t>
            </w:r>
            <w:r>
              <w:rPr>
                <w:rFonts w:cs="Times New Roman"/>
                <w:bCs/>
                <w:color w:val="000000"/>
                <w:lang w:eastAsia="zh-CN"/>
              </w:rPr>
              <w:t>-5%</w:t>
            </w:r>
            <w:r>
              <w:rPr>
                <w:rFonts w:hint="eastAsia" w:cs="Times New Roman"/>
                <w:bCs/>
                <w:color w:val="000000"/>
                <w:lang w:eastAsia="zh-CN"/>
              </w:rPr>
              <w:t>；合计：0</w:t>
            </w:r>
            <w:r>
              <w:rPr>
                <w:rFonts w:cs="Times New Roman"/>
                <w:bCs/>
                <w:color w:val="000000"/>
                <w:lang w:eastAsia="zh-CN"/>
              </w:rPr>
              <w:t>-5%</w:t>
            </w:r>
          </w:p>
          <w:p>
            <w:pPr>
              <w:pStyle w:val="3"/>
              <w:adjustRightInd w:val="0"/>
              <w:snapToGrid w:val="0"/>
              <w:spacing w:after="0"/>
              <w:rPr>
                <w:rFonts w:cs="Times New Roman"/>
                <w:b/>
                <w:color w:val="000000"/>
                <w:lang w:eastAsia="zh-CN"/>
              </w:rPr>
            </w:pPr>
          </w:p>
          <w:p>
            <w:pPr>
              <w:pStyle w:val="3"/>
              <w:adjustRightInd w:val="0"/>
              <w:snapToGrid w:val="0"/>
              <w:spacing w:after="0"/>
              <w:rPr>
                <w:rFonts w:cs="Times New Roman"/>
                <w:b/>
                <w:color w:val="000000"/>
                <w:lang w:eastAsia="zh-CN"/>
              </w:rPr>
            </w:pPr>
            <w:r>
              <w:rPr>
                <w:rFonts w:cs="Times New Roman"/>
                <w:b/>
                <w:color w:val="000000"/>
                <w:lang w:eastAsia="zh-CN"/>
              </w:rPr>
              <w:t>纵向关联</w:t>
            </w:r>
            <w:r>
              <w:rPr>
                <w:rFonts w:hint="eastAsia" w:cs="Times New Roman"/>
                <w:b/>
                <w:color w:val="000000"/>
                <w:lang w:eastAsia="zh-CN"/>
              </w:rPr>
              <w:t>：</w:t>
            </w:r>
          </w:p>
          <w:tbl>
            <w:tblPr>
              <w:tblStyle w:val="5"/>
              <w:tblW w:w="7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3"/>
              <w:gridCol w:w="196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503" w:type="dxa"/>
                  <w:tcBorders>
                    <w:bottom w:val="single" w:color="auto" w:sz="4" w:space="0"/>
                  </w:tcBorders>
                  <w:shd w:val="clear" w:color="auto" w:fill="auto"/>
                  <w:noWrap w:val="0"/>
                  <w:vAlign w:val="center"/>
                </w:tcPr>
                <w:p>
                  <w:pPr>
                    <w:adjustRightInd w:val="0"/>
                    <w:snapToGrid w:val="0"/>
                    <w:spacing w:after="0"/>
                    <w:jc w:val="center"/>
                    <w:rPr>
                      <w:bCs/>
                      <w:color w:val="000000"/>
                      <w:lang w:val="en-US"/>
                    </w:rPr>
                  </w:pPr>
                  <w:r>
                    <w:rPr>
                      <w:bCs/>
                      <w:color w:val="000000"/>
                      <w:lang w:val="en-US"/>
                    </w:rPr>
                    <w:t>相关商品市场</w:t>
                  </w:r>
                </w:p>
              </w:tc>
              <w:tc>
                <w:tcPr>
                  <w:tcW w:w="1965" w:type="dxa"/>
                  <w:tcBorders>
                    <w:bottom w:val="single" w:color="auto" w:sz="4" w:space="0"/>
                  </w:tcBorders>
                  <w:shd w:val="clear" w:color="auto" w:fill="auto"/>
                  <w:noWrap w:val="0"/>
                  <w:vAlign w:val="center"/>
                </w:tcPr>
                <w:p>
                  <w:pPr>
                    <w:adjustRightInd w:val="0"/>
                    <w:snapToGrid w:val="0"/>
                    <w:spacing w:after="0"/>
                    <w:jc w:val="center"/>
                    <w:rPr>
                      <w:bCs/>
                      <w:color w:val="000000"/>
                      <w:lang w:val="en-US"/>
                    </w:rPr>
                  </w:pPr>
                  <w:r>
                    <w:rPr>
                      <w:bCs/>
                      <w:color w:val="000000"/>
                      <w:lang w:val="en-US"/>
                    </w:rPr>
                    <w:t>相关地域市场</w:t>
                  </w:r>
                </w:p>
              </w:tc>
              <w:tc>
                <w:tcPr>
                  <w:tcW w:w="2977" w:type="dxa"/>
                  <w:tcBorders>
                    <w:bottom w:val="single" w:color="auto" w:sz="4" w:space="0"/>
                  </w:tcBorders>
                  <w:shd w:val="clear" w:color="auto" w:fill="auto"/>
                  <w:noWrap w:val="0"/>
                  <w:vAlign w:val="center"/>
                </w:tcPr>
                <w:p>
                  <w:pPr>
                    <w:adjustRightInd w:val="0"/>
                    <w:snapToGrid w:val="0"/>
                    <w:spacing w:after="0"/>
                    <w:jc w:val="center"/>
                    <w:rPr>
                      <w:bCs/>
                      <w:color w:val="000000"/>
                      <w:lang w:val="en-US"/>
                    </w:rPr>
                  </w:pPr>
                  <w:r>
                    <w:rPr>
                      <w:bCs/>
                      <w:color w:val="000000"/>
                      <w:lang w:val="en-US"/>
                    </w:rPr>
                    <w:t>2022年市场份额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2503" w:type="dxa"/>
                  <w:tcBorders>
                    <w:bottom w:val="nil"/>
                  </w:tcBorders>
                  <w:shd w:val="clear" w:color="auto" w:fill="auto"/>
                  <w:noWrap w:val="0"/>
                  <w:vAlign w:val="top"/>
                </w:tcPr>
                <w:p>
                  <w:pPr>
                    <w:adjustRightInd w:val="0"/>
                    <w:snapToGrid w:val="0"/>
                    <w:spacing w:after="0"/>
                    <w:jc w:val="left"/>
                    <w:rPr>
                      <w:rFonts w:hint="eastAsia"/>
                      <w:bCs/>
                      <w:color w:val="000000"/>
                      <w:lang w:val="en-US"/>
                    </w:rPr>
                  </w:pPr>
                  <w:r>
                    <w:rPr>
                      <w:bCs/>
                      <w:color w:val="000000"/>
                      <w:lang w:val="en-US"/>
                    </w:rPr>
                    <w:t>上游：</w:t>
                  </w:r>
                  <w:r>
                    <w:rPr>
                      <w:bCs/>
                      <w:color w:val="000000"/>
                    </w:rPr>
                    <w:t>商业物业管理服务</w:t>
                  </w:r>
                  <w:r>
                    <w:rPr>
                      <w:bCs/>
                      <w:color w:val="000000"/>
                      <w:lang w:val="en-US"/>
                    </w:rPr>
                    <w:t>市场</w:t>
                  </w:r>
                </w:p>
              </w:tc>
              <w:tc>
                <w:tcPr>
                  <w:tcW w:w="1965" w:type="dxa"/>
                  <w:tcBorders>
                    <w:bottom w:val="nil"/>
                  </w:tcBorders>
                  <w:shd w:val="clear" w:color="auto" w:fill="auto"/>
                  <w:noWrap w:val="0"/>
                  <w:vAlign w:val="top"/>
                </w:tcPr>
                <w:p>
                  <w:pPr>
                    <w:adjustRightInd w:val="0"/>
                    <w:snapToGrid w:val="0"/>
                    <w:spacing w:after="0"/>
                    <w:jc w:val="left"/>
                    <w:rPr>
                      <w:rFonts w:hint="eastAsia"/>
                      <w:bCs/>
                      <w:color w:val="000000"/>
                      <w:lang w:val="en-US"/>
                    </w:rPr>
                  </w:pPr>
                  <w:r>
                    <w:rPr>
                      <w:bCs/>
                      <w:color w:val="000000"/>
                      <w:lang w:val="en-US"/>
                    </w:rPr>
                    <w:t>上游：广州市</w:t>
                  </w:r>
                </w:p>
              </w:tc>
              <w:tc>
                <w:tcPr>
                  <w:tcW w:w="2977" w:type="dxa"/>
                  <w:tcBorders>
                    <w:bottom w:val="nil"/>
                  </w:tcBorders>
                  <w:shd w:val="clear" w:color="auto" w:fill="auto"/>
                  <w:noWrap w:val="0"/>
                  <w:vAlign w:val="top"/>
                </w:tcPr>
                <w:p>
                  <w:pPr>
                    <w:adjustRightInd w:val="0"/>
                    <w:snapToGrid w:val="0"/>
                    <w:spacing w:after="0"/>
                    <w:jc w:val="left"/>
                    <w:rPr>
                      <w:bCs/>
                      <w:color w:val="000000"/>
                      <w:lang w:val="en-US"/>
                    </w:rPr>
                  </w:pPr>
                  <w:r>
                    <w:rPr>
                      <w:bCs/>
                      <w:color w:val="000000"/>
                      <w:lang w:val="en-US"/>
                    </w:rPr>
                    <w:t>上游：广州市</w:t>
                  </w:r>
                  <w:r>
                    <w:rPr>
                      <w:bCs/>
                      <w:color w:val="000000"/>
                    </w:rPr>
                    <w:t>商业物业管理服务</w:t>
                  </w:r>
                  <w:r>
                    <w:rPr>
                      <w:bCs/>
                      <w:color w:val="000000"/>
                      <w:lang w:val="en-US"/>
                    </w:rPr>
                    <w:t>市场</w:t>
                  </w:r>
                </w:p>
                <w:p>
                  <w:pPr>
                    <w:adjustRightInd w:val="0"/>
                    <w:snapToGrid w:val="0"/>
                    <w:spacing w:after="0"/>
                    <w:jc w:val="left"/>
                    <w:rPr>
                      <w:bCs/>
                      <w:color w:val="000000"/>
                      <w:lang w:val="en-US"/>
                    </w:rPr>
                  </w:pPr>
                  <w:r>
                    <w:rPr>
                      <w:bCs/>
                      <w:color w:val="000000"/>
                      <w:lang w:val="en-US"/>
                    </w:rPr>
                    <w:t>珠江产投：0-5%</w:t>
                  </w:r>
                </w:p>
                <w:p>
                  <w:pPr>
                    <w:adjustRightInd w:val="0"/>
                    <w:snapToGrid w:val="0"/>
                    <w:spacing w:after="0"/>
                    <w:jc w:val="left"/>
                    <w:rPr>
                      <w:bCs/>
                      <w:color w:val="000000"/>
                      <w:lang w:val="en-US"/>
                    </w:rPr>
                  </w:pPr>
                  <w:r>
                    <w:rPr>
                      <w:rFonts w:hint="eastAsia"/>
                      <w:bCs/>
                      <w:color w:val="000000"/>
                      <w:lang w:val="en-US"/>
                    </w:rPr>
                    <w:t>合营企业（预估）：0</w:t>
                  </w:r>
                  <w:r>
                    <w:rPr>
                      <w:bCs/>
                      <w:color w:val="000000"/>
                      <w:lang w:val="en-US"/>
                    </w:rPr>
                    <w:t>-5%</w:t>
                  </w:r>
                  <w:r>
                    <w:rPr>
                      <w:rFonts w:hint="eastAsia"/>
                      <w:bCs/>
                      <w:color w:val="000000"/>
                      <w:lang w:val="en-US"/>
                    </w:rPr>
                    <w:t>；</w:t>
                  </w:r>
                </w:p>
                <w:p>
                  <w:pPr>
                    <w:adjustRightInd w:val="0"/>
                    <w:snapToGrid w:val="0"/>
                    <w:spacing w:after="0"/>
                    <w:jc w:val="left"/>
                    <w:rPr>
                      <w:rFonts w:hint="eastAsia"/>
                      <w:bCs/>
                      <w:color w:val="000000"/>
                      <w:lang w:val="en-US"/>
                    </w:rPr>
                  </w:pPr>
                  <w:r>
                    <w:rPr>
                      <w:rFonts w:hint="eastAsia"/>
                      <w:bCs/>
                      <w:color w:val="000000"/>
                      <w:lang w:val="en-US"/>
                    </w:rPr>
                    <w:t>合计：0</w:t>
                  </w:r>
                  <w:r>
                    <w:rPr>
                      <w:bCs/>
                      <w:color w:val="00000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503" w:type="dxa"/>
                  <w:tcBorders>
                    <w:top w:val="nil"/>
                    <w:bottom w:val="single" w:color="auto" w:sz="4" w:space="0"/>
                  </w:tcBorders>
                  <w:shd w:val="clear" w:color="auto" w:fill="auto"/>
                  <w:noWrap w:val="0"/>
                  <w:vAlign w:val="top"/>
                </w:tcPr>
                <w:p>
                  <w:pPr>
                    <w:adjustRightInd w:val="0"/>
                    <w:snapToGrid w:val="0"/>
                    <w:spacing w:after="0"/>
                    <w:jc w:val="left"/>
                    <w:rPr>
                      <w:bCs/>
                      <w:color w:val="000000"/>
                      <w:lang w:val="en-US"/>
                    </w:rPr>
                  </w:pPr>
                  <w:r>
                    <w:rPr>
                      <w:bCs/>
                      <w:color w:val="000000"/>
                      <w:lang w:val="en-US"/>
                    </w:rPr>
                    <w:t>下游：</w:t>
                  </w:r>
                  <w:r>
                    <w:rPr>
                      <w:bCs/>
                      <w:color w:val="000000"/>
                    </w:rPr>
                    <w:t>写字楼地产的开发与运营</w:t>
                  </w:r>
                  <w:r>
                    <w:rPr>
                      <w:bCs/>
                      <w:color w:val="000000"/>
                      <w:lang w:val="en-US"/>
                    </w:rPr>
                    <w:t>市场</w:t>
                  </w:r>
                </w:p>
              </w:tc>
              <w:tc>
                <w:tcPr>
                  <w:tcW w:w="1965" w:type="dxa"/>
                  <w:tcBorders>
                    <w:top w:val="nil"/>
                    <w:bottom w:val="single" w:color="auto" w:sz="4" w:space="0"/>
                  </w:tcBorders>
                  <w:shd w:val="clear" w:color="auto" w:fill="auto"/>
                  <w:noWrap w:val="0"/>
                  <w:vAlign w:val="top"/>
                </w:tcPr>
                <w:p>
                  <w:pPr>
                    <w:adjustRightInd w:val="0"/>
                    <w:snapToGrid w:val="0"/>
                    <w:spacing w:after="0"/>
                    <w:jc w:val="left"/>
                    <w:rPr>
                      <w:bCs/>
                      <w:color w:val="000000"/>
                      <w:lang w:val="en-US"/>
                    </w:rPr>
                  </w:pPr>
                  <w:r>
                    <w:rPr>
                      <w:bCs/>
                      <w:color w:val="000000"/>
                      <w:lang w:val="en-US"/>
                    </w:rPr>
                    <w:t>下游：广州市</w:t>
                  </w:r>
                </w:p>
              </w:tc>
              <w:tc>
                <w:tcPr>
                  <w:tcW w:w="2977" w:type="dxa"/>
                  <w:tcBorders>
                    <w:top w:val="nil"/>
                    <w:bottom w:val="single" w:color="auto" w:sz="4" w:space="0"/>
                  </w:tcBorders>
                  <w:shd w:val="clear" w:color="auto" w:fill="auto"/>
                  <w:noWrap w:val="0"/>
                  <w:vAlign w:val="top"/>
                </w:tcPr>
                <w:p>
                  <w:pPr>
                    <w:adjustRightInd w:val="0"/>
                    <w:snapToGrid w:val="0"/>
                    <w:spacing w:after="0"/>
                    <w:jc w:val="left"/>
                    <w:rPr>
                      <w:bCs/>
                      <w:color w:val="000000"/>
                      <w:lang w:val="en-US"/>
                    </w:rPr>
                  </w:pPr>
                  <w:r>
                    <w:rPr>
                      <w:bCs/>
                      <w:color w:val="000000"/>
                      <w:lang w:val="en-US"/>
                    </w:rPr>
                    <w:t>下游：广州市</w:t>
                  </w:r>
                  <w:r>
                    <w:rPr>
                      <w:bCs/>
                      <w:color w:val="000000"/>
                    </w:rPr>
                    <w:t>写字楼地产的开发与运营</w:t>
                  </w:r>
                  <w:r>
                    <w:rPr>
                      <w:bCs/>
                      <w:color w:val="000000"/>
                      <w:lang w:val="en-US"/>
                    </w:rPr>
                    <w:t>市场</w:t>
                  </w:r>
                </w:p>
                <w:p>
                  <w:pPr>
                    <w:adjustRightInd w:val="0"/>
                    <w:snapToGrid w:val="0"/>
                    <w:spacing w:after="0"/>
                    <w:jc w:val="left"/>
                    <w:rPr>
                      <w:bCs/>
                      <w:color w:val="000000"/>
                      <w:lang w:val="en-US"/>
                    </w:rPr>
                  </w:pPr>
                  <w:r>
                    <w:rPr>
                      <w:bCs/>
                      <w:color w:val="000000"/>
                      <w:lang w:val="en-US"/>
                    </w:rPr>
                    <w:t>堡泉广州：0-5%</w:t>
                  </w:r>
                </w:p>
                <w:p>
                  <w:pPr>
                    <w:adjustRightInd w:val="0"/>
                    <w:snapToGrid w:val="0"/>
                    <w:spacing w:after="0"/>
                    <w:jc w:val="left"/>
                    <w:rPr>
                      <w:bCs/>
                      <w:color w:val="000000"/>
                      <w:lang w:val="en-US"/>
                    </w:rPr>
                  </w:pPr>
                  <w:r>
                    <w:rPr>
                      <w:bCs/>
                      <w:color w:val="000000"/>
                      <w:lang w:val="en-US"/>
                    </w:rPr>
                    <w:t>珠江产投：0-5%</w:t>
                  </w:r>
                </w:p>
                <w:p>
                  <w:pPr>
                    <w:adjustRightInd w:val="0"/>
                    <w:snapToGrid w:val="0"/>
                    <w:spacing w:after="0"/>
                    <w:jc w:val="left"/>
                    <w:rPr>
                      <w:bCs/>
                      <w:color w:val="000000"/>
                      <w:lang w:val="en-US"/>
                    </w:rPr>
                  </w:pPr>
                  <w:r>
                    <w:rPr>
                      <w:rFonts w:hint="eastAsia"/>
                      <w:bCs/>
                      <w:color w:val="000000"/>
                      <w:lang w:val="en-US"/>
                    </w:rPr>
                    <w:t>合计：</w:t>
                  </w:r>
                  <w:r>
                    <w:rPr>
                      <w:bCs/>
                      <w:color w:val="000000"/>
                      <w:lang w:val="en-U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2" w:hRule="atLeast"/>
              </w:trPr>
              <w:tc>
                <w:tcPr>
                  <w:tcW w:w="2503" w:type="dxa"/>
                  <w:tcBorders>
                    <w:bottom w:val="nil"/>
                  </w:tcBorders>
                  <w:shd w:val="clear" w:color="auto" w:fill="auto"/>
                  <w:noWrap w:val="0"/>
                  <w:vAlign w:val="top"/>
                </w:tcPr>
                <w:p>
                  <w:pPr>
                    <w:adjustRightInd w:val="0"/>
                    <w:snapToGrid w:val="0"/>
                    <w:spacing w:after="0"/>
                    <w:jc w:val="left"/>
                    <w:rPr>
                      <w:rFonts w:hint="eastAsia"/>
                      <w:bCs/>
                      <w:color w:val="000000"/>
                      <w:lang w:val="en-US"/>
                    </w:rPr>
                  </w:pPr>
                  <w:r>
                    <w:rPr>
                      <w:bCs/>
                      <w:color w:val="000000"/>
                      <w:lang w:val="en-US"/>
                    </w:rPr>
                    <w:t>上游：</w:t>
                  </w:r>
                  <w:r>
                    <w:rPr>
                      <w:bCs/>
                      <w:color w:val="000000"/>
                    </w:rPr>
                    <w:t>商业物业管理服务</w:t>
                  </w:r>
                  <w:r>
                    <w:rPr>
                      <w:bCs/>
                      <w:color w:val="000000"/>
                      <w:lang w:val="en-US"/>
                    </w:rPr>
                    <w:t>市场</w:t>
                  </w:r>
                </w:p>
              </w:tc>
              <w:tc>
                <w:tcPr>
                  <w:tcW w:w="1965" w:type="dxa"/>
                  <w:tcBorders>
                    <w:bottom w:val="nil"/>
                  </w:tcBorders>
                  <w:shd w:val="clear" w:color="auto" w:fill="auto"/>
                  <w:noWrap w:val="0"/>
                  <w:vAlign w:val="top"/>
                </w:tcPr>
                <w:p>
                  <w:pPr>
                    <w:adjustRightInd w:val="0"/>
                    <w:snapToGrid w:val="0"/>
                    <w:spacing w:after="0"/>
                    <w:jc w:val="left"/>
                    <w:rPr>
                      <w:rFonts w:hint="eastAsia"/>
                      <w:bCs/>
                      <w:color w:val="000000"/>
                      <w:lang w:val="en-US"/>
                    </w:rPr>
                  </w:pPr>
                  <w:r>
                    <w:rPr>
                      <w:bCs/>
                      <w:color w:val="000000"/>
                      <w:lang w:val="en-US"/>
                    </w:rPr>
                    <w:t>上游：广州市</w:t>
                  </w:r>
                </w:p>
              </w:tc>
              <w:tc>
                <w:tcPr>
                  <w:tcW w:w="2977" w:type="dxa"/>
                  <w:tcBorders>
                    <w:bottom w:val="nil"/>
                  </w:tcBorders>
                  <w:shd w:val="clear" w:color="auto" w:fill="auto"/>
                  <w:noWrap w:val="0"/>
                  <w:vAlign w:val="top"/>
                </w:tcPr>
                <w:p>
                  <w:pPr>
                    <w:adjustRightInd w:val="0"/>
                    <w:snapToGrid w:val="0"/>
                    <w:spacing w:after="0"/>
                    <w:jc w:val="left"/>
                    <w:rPr>
                      <w:bCs/>
                      <w:color w:val="000000"/>
                      <w:lang w:val="en-US"/>
                    </w:rPr>
                  </w:pPr>
                  <w:r>
                    <w:rPr>
                      <w:bCs/>
                      <w:color w:val="000000"/>
                      <w:lang w:val="en-US"/>
                    </w:rPr>
                    <w:t>上游：广州市</w:t>
                  </w:r>
                  <w:r>
                    <w:rPr>
                      <w:bCs/>
                      <w:color w:val="000000"/>
                    </w:rPr>
                    <w:t>商业物业管理服务</w:t>
                  </w:r>
                  <w:r>
                    <w:rPr>
                      <w:bCs/>
                      <w:color w:val="000000"/>
                      <w:lang w:val="en-US"/>
                    </w:rPr>
                    <w:t>市场</w:t>
                  </w:r>
                </w:p>
                <w:p>
                  <w:pPr>
                    <w:adjustRightInd w:val="0"/>
                    <w:snapToGrid w:val="0"/>
                    <w:spacing w:after="0"/>
                    <w:jc w:val="left"/>
                    <w:rPr>
                      <w:rFonts w:hint="eastAsia"/>
                      <w:bCs/>
                      <w:color w:val="000000"/>
                      <w:lang w:val="en-US"/>
                    </w:rPr>
                  </w:pPr>
                  <w:r>
                    <w:rPr>
                      <w:bCs/>
                      <w:color w:val="000000"/>
                      <w:lang w:val="en-US"/>
                    </w:rPr>
                    <w:t>珠江产投：0-5%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2503" w:type="dxa"/>
                  <w:tcBorders>
                    <w:top w:val="nil"/>
                    <w:bottom w:val="single" w:color="auto" w:sz="4" w:space="0"/>
                  </w:tcBorders>
                  <w:shd w:val="clear" w:color="auto" w:fill="auto"/>
                  <w:noWrap w:val="0"/>
                  <w:vAlign w:val="top"/>
                </w:tcPr>
                <w:p>
                  <w:pPr>
                    <w:adjustRightInd w:val="0"/>
                    <w:snapToGrid w:val="0"/>
                    <w:spacing w:after="0"/>
                    <w:jc w:val="left"/>
                    <w:rPr>
                      <w:bCs/>
                      <w:color w:val="000000"/>
                      <w:lang w:val="en-US"/>
                    </w:rPr>
                  </w:pPr>
                  <w:r>
                    <w:rPr>
                      <w:bCs/>
                      <w:color w:val="000000"/>
                      <w:lang w:val="en-US"/>
                    </w:rPr>
                    <w:t>下游：</w:t>
                  </w:r>
                  <w:r>
                    <w:rPr>
                      <w:bCs/>
                      <w:color w:val="000000"/>
                    </w:rPr>
                    <w:t>大型零售商业地产的开发与运营</w:t>
                  </w:r>
                  <w:r>
                    <w:rPr>
                      <w:bCs/>
                      <w:color w:val="000000"/>
                      <w:lang w:val="en-US"/>
                    </w:rPr>
                    <w:t>市场</w:t>
                  </w:r>
                </w:p>
              </w:tc>
              <w:tc>
                <w:tcPr>
                  <w:tcW w:w="1965" w:type="dxa"/>
                  <w:tcBorders>
                    <w:top w:val="nil"/>
                    <w:bottom w:val="single" w:color="auto" w:sz="4" w:space="0"/>
                  </w:tcBorders>
                  <w:shd w:val="clear" w:color="auto" w:fill="auto"/>
                  <w:noWrap w:val="0"/>
                  <w:vAlign w:val="top"/>
                </w:tcPr>
                <w:p>
                  <w:pPr>
                    <w:adjustRightInd w:val="0"/>
                    <w:snapToGrid w:val="0"/>
                    <w:spacing w:after="0"/>
                    <w:jc w:val="left"/>
                    <w:rPr>
                      <w:bCs/>
                      <w:color w:val="000000"/>
                      <w:lang w:val="en-US"/>
                    </w:rPr>
                  </w:pPr>
                  <w:r>
                    <w:rPr>
                      <w:bCs/>
                      <w:color w:val="000000"/>
                      <w:lang w:val="en-US"/>
                    </w:rPr>
                    <w:t>下游：广州市</w:t>
                  </w:r>
                </w:p>
              </w:tc>
              <w:tc>
                <w:tcPr>
                  <w:tcW w:w="2977" w:type="dxa"/>
                  <w:tcBorders>
                    <w:top w:val="nil"/>
                    <w:bottom w:val="single" w:color="auto" w:sz="4" w:space="0"/>
                  </w:tcBorders>
                  <w:shd w:val="clear" w:color="auto" w:fill="auto"/>
                  <w:noWrap w:val="0"/>
                  <w:vAlign w:val="top"/>
                </w:tcPr>
                <w:p>
                  <w:pPr>
                    <w:adjustRightInd w:val="0"/>
                    <w:snapToGrid w:val="0"/>
                    <w:spacing w:after="0"/>
                    <w:jc w:val="left"/>
                    <w:rPr>
                      <w:bCs/>
                      <w:color w:val="000000"/>
                      <w:lang w:val="en-US"/>
                    </w:rPr>
                  </w:pPr>
                  <w:r>
                    <w:rPr>
                      <w:bCs/>
                      <w:color w:val="000000"/>
                      <w:lang w:val="en-US"/>
                    </w:rPr>
                    <w:t>下游：广州市</w:t>
                  </w:r>
                  <w:r>
                    <w:rPr>
                      <w:bCs/>
                      <w:color w:val="000000"/>
                    </w:rPr>
                    <w:t>大型零售商业地产的开发与运营</w:t>
                  </w:r>
                  <w:r>
                    <w:rPr>
                      <w:bCs/>
                      <w:color w:val="000000"/>
                      <w:lang w:val="en-US"/>
                    </w:rPr>
                    <w:t>市场</w:t>
                  </w:r>
                </w:p>
                <w:p>
                  <w:pPr>
                    <w:adjustRightInd w:val="0"/>
                    <w:snapToGrid w:val="0"/>
                    <w:spacing w:after="0"/>
                    <w:jc w:val="left"/>
                    <w:rPr>
                      <w:bCs/>
                      <w:color w:val="000000"/>
                      <w:lang w:val="en-US"/>
                    </w:rPr>
                  </w:pPr>
                  <w:r>
                    <w:rPr>
                      <w:bCs/>
                      <w:color w:val="000000"/>
                      <w:lang w:val="en-US"/>
                    </w:rPr>
                    <w:t>堡泉广州：0-5%</w:t>
                  </w:r>
                </w:p>
                <w:p>
                  <w:pPr>
                    <w:adjustRightInd w:val="0"/>
                    <w:snapToGrid w:val="0"/>
                    <w:spacing w:after="0"/>
                    <w:jc w:val="left"/>
                    <w:rPr>
                      <w:bCs/>
                      <w:color w:val="000000"/>
                      <w:lang w:val="en-US"/>
                    </w:rPr>
                  </w:pPr>
                  <w:r>
                    <w:rPr>
                      <w:bCs/>
                      <w:color w:val="000000"/>
                      <w:lang w:val="en-US"/>
                    </w:rPr>
                    <w:t>珠江产投：0-5%</w:t>
                  </w:r>
                </w:p>
                <w:p>
                  <w:pPr>
                    <w:adjustRightInd w:val="0"/>
                    <w:snapToGrid w:val="0"/>
                    <w:spacing w:after="0"/>
                    <w:jc w:val="left"/>
                    <w:rPr>
                      <w:bCs/>
                      <w:color w:val="000000"/>
                      <w:lang w:val="en-US"/>
                    </w:rPr>
                  </w:pPr>
                  <w:r>
                    <w:rPr>
                      <w:rFonts w:hint="eastAsia"/>
                      <w:bCs/>
                      <w:color w:val="000000"/>
                      <w:lang w:val="en-US"/>
                    </w:rPr>
                    <w:t>合计：0</w:t>
                  </w:r>
                  <w:r>
                    <w:rPr>
                      <w:bCs/>
                      <w:color w:val="000000"/>
                      <w:lang w:val="en-US"/>
                    </w:rPr>
                    <w:t>-5%</w:t>
                  </w:r>
                </w:p>
              </w:tc>
            </w:tr>
          </w:tbl>
          <w:p>
            <w:pPr>
              <w:pStyle w:val="3"/>
              <w:adjustRightInd w:val="0"/>
              <w:snapToGrid w:val="0"/>
              <w:spacing w:after="0"/>
              <w:rPr>
                <w:rFonts w:cs="Times New Roman"/>
                <w:bCs/>
                <w:color w:val="000000"/>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251AF"/>
    <w:rsid w:val="1A125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1"/>
    <w:qFormat/>
    <w:uiPriority w:val="99"/>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2023-12-01T09:41:00Z</dcterms:created>
  <dc:creator>胡翌婧</dc:creator>
  <cp:lastModifiedBy>胡翌婧</cp:lastModifiedBy>
  <dcterms:modified xsi:type="dcterms:W3CDTF">2023-12-01T09:42:24Z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