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>
              <w:t>浙江物产环保能源股份有限公司</w:t>
            </w:r>
            <w:r>
              <w:rPr>
                <w:lang w:val="en-US"/>
              </w:rPr>
              <w:t>与杭州热电集团股份有限公司</w:t>
            </w:r>
            <w:r>
              <w:t>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交易概况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  <w:r>
              <w:t>浙江物产环保能源股份有限公司（“</w:t>
            </w:r>
            <w:r>
              <w:rPr>
                <w:lang w:val="en-US"/>
              </w:rPr>
              <w:t>物产环能</w:t>
            </w:r>
            <w:r>
              <w:t>”）</w:t>
            </w:r>
            <w:r>
              <w:rPr>
                <w:rFonts w:hint="eastAsia"/>
                <w:lang w:val="en-US"/>
              </w:rPr>
              <w:t>与</w:t>
            </w:r>
            <w:r>
              <w:rPr>
                <w:lang w:val="en-US"/>
              </w:rPr>
              <w:t>杭州热电集团股份有限公司</w:t>
            </w:r>
            <w:r>
              <w:t>（“</w:t>
            </w:r>
            <w:r>
              <w:rPr>
                <w:rFonts w:hint="eastAsia"/>
                <w:lang w:val="en-US"/>
              </w:rPr>
              <w:t>杭州热电</w:t>
            </w:r>
            <w:r>
              <w:t>”）</w:t>
            </w:r>
            <w:r>
              <w:rPr>
                <w:lang w:val="en-US"/>
              </w:rPr>
              <w:t>签署合</w:t>
            </w:r>
            <w:r>
              <w:rPr>
                <w:rFonts w:hint="eastAsia"/>
                <w:lang w:val="en-US"/>
              </w:rPr>
              <w:t>作</w:t>
            </w:r>
            <w:r>
              <w:rPr>
                <w:lang w:val="en-US"/>
              </w:rPr>
              <w:t>协议书，共同出资设立合营企业，其中物产环能持股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0%，</w:t>
            </w:r>
            <w:r>
              <w:rPr>
                <w:rFonts w:hint="eastAsia"/>
                <w:lang w:val="en-US"/>
              </w:rPr>
              <w:t>杭州热电</w:t>
            </w:r>
            <w:r>
              <w:rPr>
                <w:lang w:val="en-US"/>
              </w:rPr>
              <w:t>持股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0%</w:t>
            </w:r>
            <w:r>
              <w:rPr>
                <w:rFonts w:hint="eastAsia"/>
                <w:lang w:val="en-US"/>
              </w:rPr>
              <w:t>。合营企业</w:t>
            </w:r>
            <w:r>
              <w:rPr>
                <w:lang w:val="en-US"/>
              </w:rPr>
              <w:t>主要从事</w:t>
            </w:r>
            <w:r>
              <w:rPr>
                <w:rFonts w:hint="eastAsia"/>
                <w:lang w:val="en-US"/>
              </w:rPr>
              <w:t>煤炭贸易</w:t>
            </w:r>
            <w:r>
              <w:rPr>
                <w:lang w:val="en-US"/>
              </w:rPr>
              <w:t>业务。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交易后，物产环能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  <w:lang w:val="en-US"/>
              </w:rPr>
              <w:t>杭州热电</w:t>
            </w:r>
            <w:r>
              <w:rPr>
                <w:lang w:val="en-US"/>
              </w:rPr>
              <w:t>将共同控制合营企业。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参与集中的经营者简介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1.物产环能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adjustRightInd w:val="0"/>
              <w:snapToGrid w:val="0"/>
              <w:spacing w:after="0"/>
            </w:pPr>
            <w:r>
              <w:rPr>
                <w:bCs/>
                <w:color w:val="000000"/>
                <w:lang w:val="en-US"/>
              </w:rPr>
              <w:t>物产环能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2000年06月29日设立于浙江省杭州市</w:t>
            </w:r>
            <w:r>
              <w:rPr>
                <w:lang w:val="en-US"/>
              </w:rPr>
              <w:t>，</w:t>
            </w:r>
            <w:r>
              <w:rPr>
                <w:rFonts w:hint="eastAsia"/>
                <w:lang w:val="en-US"/>
              </w:rPr>
              <w:t>于</w:t>
            </w: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t>月在上交所主板挂牌上市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lang w:val="en-US"/>
              </w:rPr>
              <w:t>主要业务为煤炭</w:t>
            </w:r>
            <w:r>
              <w:rPr>
                <w:rFonts w:hint="eastAsia"/>
                <w:lang w:val="en-US"/>
              </w:rPr>
              <w:t>贸易</w:t>
            </w:r>
            <w:r>
              <w:rPr>
                <w:lang w:val="en-US"/>
              </w:rPr>
              <w:t>、</w:t>
            </w:r>
            <w:r>
              <w:rPr>
                <w:rFonts w:hint="eastAsia"/>
                <w:lang w:val="en-US"/>
              </w:rPr>
              <w:t>热力生产和供应</w:t>
            </w:r>
            <w:r>
              <w:rPr>
                <w:lang w:val="en-US"/>
              </w:rPr>
              <w:t>。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lang w:val="en-US" w:eastAsia="zh-CN"/>
              </w:rPr>
              <w:t>物产环能</w:t>
            </w:r>
            <w:r>
              <w:rPr>
                <w:rFonts w:cs="Times New Roman"/>
                <w:lang w:eastAsia="zh-CN"/>
              </w:rPr>
              <w:t>最终控制人为</w:t>
            </w:r>
            <w:r>
              <w:rPr>
                <w:rFonts w:hint="eastAsia" w:cs="Times New Roman"/>
                <w:lang w:val="en-US" w:eastAsia="zh-CN"/>
              </w:rPr>
              <w:t>浙江省国有资本运营有限公司，主要业务为投资与投资管理及咨询服务，资产管理与处置，股权管理等</w:t>
            </w:r>
            <w:r>
              <w:rPr>
                <w:rFonts w:cs="Times New Roman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杭州热电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adjustRightInd w:val="0"/>
              <w:snapToGrid w:val="0"/>
              <w:spacing w:after="0"/>
            </w:pPr>
            <w:r>
              <w:rPr>
                <w:rFonts w:hint="eastAsia"/>
                <w:bCs/>
                <w:color w:val="000000"/>
                <w:lang w:val="en-US"/>
              </w:rPr>
              <w:t>杭州热电</w:t>
            </w:r>
            <w:r>
              <w:t>1997</w:t>
            </w:r>
            <w:r>
              <w:rPr>
                <w:rFonts w:hint="eastAsia"/>
                <w:lang w:val="en-US"/>
              </w:rPr>
              <w:t>年</w:t>
            </w:r>
            <w:r>
              <w:t>5</w:t>
            </w:r>
            <w:r>
              <w:rPr>
                <w:rFonts w:hint="eastAsia"/>
                <w:lang w:val="en-US"/>
              </w:rPr>
              <w:t>月</w:t>
            </w:r>
            <w:r>
              <w:t>26</w:t>
            </w:r>
            <w:r>
              <w:rPr>
                <w:rFonts w:hint="eastAsia"/>
                <w:lang w:val="en-US"/>
              </w:rPr>
              <w:t>日</w:t>
            </w:r>
            <w:r>
              <w:rPr>
                <w:rFonts w:hint="eastAsia"/>
                <w:bCs/>
                <w:color w:val="000000"/>
                <w:lang w:val="en-US"/>
              </w:rPr>
              <w:t>设立于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浙江省杭州市</w:t>
            </w:r>
            <w:r>
              <w:rPr>
                <w:rFonts w:hint="eastAsia"/>
                <w:lang w:val="en-US"/>
              </w:rPr>
              <w:t>，于</w:t>
            </w:r>
            <w:r>
              <w:t>2023年6月在上交所主板挂牌上市。</w:t>
            </w:r>
            <w:r>
              <w:rPr>
                <w:lang w:val="en-US"/>
              </w:rPr>
              <w:t>主要业务为</w:t>
            </w:r>
            <w:r>
              <w:rPr>
                <w:rFonts w:hint="eastAsia"/>
                <w:lang w:val="en-US"/>
              </w:rPr>
              <w:t>热力生产和供应、</w:t>
            </w:r>
            <w:r>
              <w:rPr>
                <w:lang w:val="en-US"/>
              </w:rPr>
              <w:t>煤炭</w:t>
            </w:r>
            <w:r>
              <w:rPr>
                <w:rFonts w:hint="eastAsia"/>
                <w:lang w:val="en-US"/>
              </w:rPr>
              <w:t>贸易</w:t>
            </w:r>
            <w:r>
              <w:rPr>
                <w:lang w:val="en-US"/>
              </w:rPr>
              <w:t>。</w:t>
            </w:r>
          </w:p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杭州热电最终控制人</w:t>
            </w:r>
            <w:r>
              <w:rPr>
                <w:rFonts w:hint="eastAsia"/>
                <w:lang w:val="en-US"/>
              </w:rPr>
              <w:t>为杭州市城市建设投资集团有限公司</w:t>
            </w:r>
            <w:r>
              <w:rPr>
                <w:rFonts w:hint="eastAsia"/>
                <w:lang w:val="en-US" w:eastAsia="zh-CN"/>
              </w:rPr>
              <w:t>，主要业务为经营市政府授权的国有资产</w:t>
            </w:r>
            <w:r>
              <w:rPr>
                <w:rFonts w:hint="eastAsia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eastAsia="zh-CN"/>
              </w:rPr>
            </w:pPr>
            <w:r>
              <w:rPr>
                <w:rFonts w:cs="Times New Roman"/>
                <w:b/>
                <w:color w:val="000000"/>
                <w:lang w:eastAsia="zh-CN"/>
              </w:rPr>
              <w:t>横向重叠：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202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2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年</w:t>
            </w:r>
            <w:r>
              <w:rPr>
                <w:rFonts w:cs="Times New Roman"/>
                <w:bCs/>
                <w:color w:val="000000"/>
                <w:lang w:eastAsia="zh-CN"/>
              </w:rPr>
              <w:t>中国境内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煤炭贸易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市场: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hint="default"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物产环能：0-5%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hint="eastAsia"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val="en-US" w:eastAsia="zh-CN"/>
              </w:rPr>
              <w:t xml:space="preserve">杭州热电：0-1%    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hint="default"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各方合计：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0-5%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eastAsia="zh-CN"/>
              </w:rPr>
            </w:pPr>
            <w:r>
              <w:rPr>
                <w:rFonts w:cs="Times New Roman"/>
                <w:b/>
                <w:color w:val="000000"/>
                <w:lang w:eastAsia="zh-CN"/>
              </w:rPr>
              <w:t>纵向关联：</w:t>
            </w:r>
          </w:p>
          <w:tbl>
            <w:tblPr>
              <w:tblStyle w:val="79"/>
              <w:tblW w:w="74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0"/>
              <w:gridCol w:w="1838"/>
              <w:gridCol w:w="37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</w:tcPr>
                <w:p>
                  <w:pPr>
                    <w:rPr>
                      <w:rFonts w:hint="default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相关商品市场</w:t>
                  </w:r>
                </w:p>
              </w:tc>
              <w:tc>
                <w:tcPr>
                  <w:tcW w:w="1838" w:type="dxa"/>
                </w:tcPr>
                <w:p>
                  <w:pPr>
                    <w:rPr>
                      <w:rFonts w:hint="default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相关地域市场</w:t>
                  </w:r>
                </w:p>
              </w:tc>
              <w:tc>
                <w:tcPr>
                  <w:tcW w:w="3726" w:type="dxa"/>
                </w:tcPr>
                <w:p>
                  <w:pPr>
                    <w:rPr>
                      <w:rFonts w:hint="default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2022年市场份额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default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上游：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煤炭贸易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default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上游：中国境内市场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pStyle w:val="5"/>
                    <w:adjustRightInd w:val="0"/>
                    <w:snapToGrid w:val="0"/>
                    <w:spacing w:after="0" w:line="240" w:lineRule="auto"/>
                    <w:jc w:val="both"/>
                    <w:rPr>
                      <w:rFonts w:cs="Times New Roman"/>
                      <w:bCs/>
                      <w:color w:val="000000"/>
                      <w:lang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eastAsia="zh-CN"/>
                    </w:rPr>
                    <w:t>上游：</w:t>
                  </w:r>
                </w:p>
                <w:p>
                  <w:pPr>
                    <w:pStyle w:val="5"/>
                    <w:adjustRightInd w:val="0"/>
                    <w:snapToGrid w:val="0"/>
                    <w:spacing w:after="0"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eastAsia="zh-CN"/>
                    </w:rPr>
                    <w:t>中国境内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煤炭贸易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市场:</w:t>
                  </w:r>
                </w:p>
                <w:p>
                  <w:pPr>
                    <w:spacing w:line="240" w:lineRule="auto"/>
                    <w:jc w:val="both"/>
                    <w:rPr>
                      <w:rFonts w:hint="default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如上所述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vMerge w:val="restart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下游：热力生产和供应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下游1：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嘉兴市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下游1：嘉兴市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  <w:p>
                  <w:pPr>
                    <w:pStyle w:val="5"/>
                    <w:adjustRightInd w:val="0"/>
                    <w:snapToGrid w:val="0"/>
                    <w:spacing w:after="0"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物产环能:10-15%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10" w:type="dxa"/>
                  <w:vMerge w:val="continue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下游2：金华市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2：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金华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市热力生产和供应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  <w:p>
                  <w:pPr>
                    <w:pStyle w:val="5"/>
                    <w:adjustRightInd w:val="0"/>
                    <w:snapToGrid w:val="0"/>
                    <w:spacing w:after="0"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物产环能:0-5%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vMerge w:val="continue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下游3：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杭州市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3：杭州市热力生产和供应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杭州热电：0-5%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vMerge w:val="continue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下游4：丽水市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4：丽水市热力生产和供应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杭州热电：5-10%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vMerge w:val="continue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下游5：湖州市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5：湖州市热力生产和供应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杭州热电：0-5%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10" w:type="dxa"/>
                  <w:vMerge w:val="continue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下游6：绍兴市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6：绍兴市热力生产和供应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杭州热电：10-15%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10" w:type="dxa"/>
                  <w:vMerge w:val="continue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38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下游7：上海市</w:t>
                  </w:r>
                </w:p>
              </w:tc>
              <w:tc>
                <w:tcPr>
                  <w:tcW w:w="3726" w:type="dxa"/>
                  <w:vAlign w:val="top"/>
                </w:tcPr>
                <w:p>
                  <w:pPr>
                    <w:spacing w:line="240" w:lineRule="auto"/>
                    <w:jc w:val="both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下游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7：上海市热力生产和供应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市场</w:t>
                  </w:r>
                </w:p>
                <w:p>
                  <w:pPr>
                    <w:spacing w:line="240" w:lineRule="auto"/>
                    <w:jc w:val="both"/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杭州热电：0-5%</w:t>
                  </w:r>
                </w:p>
              </w:tc>
            </w:tr>
          </w:tbl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5"/>
        <w:adjustRightInd w:val="0"/>
        <w:snapToGrid w:val="0"/>
        <w:spacing w:after="0"/>
        <w:rPr>
          <w:rFonts w:hint="eastAsia" w:ascii="Arial" w:hAnsi="Arial" w:eastAsia="楷体_GB2312" w:cs="Arial"/>
          <w:b/>
          <w:color w:val="000000"/>
          <w:sz w:val="22"/>
          <w:szCs w:val="22"/>
          <w:lang w:eastAsia="zh-CN"/>
        </w:rPr>
      </w:pPr>
    </w:p>
    <w:p>
      <w:pPr>
        <w:pStyle w:val="5"/>
        <w:ind w:firstLine="560" w:firstLineChars="200"/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DejaVu Sans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  <w:noWrap w:val="0"/>
          <w:vAlign w:val="top"/>
        </w:tcPr>
        <w:p>
          <w:pPr>
            <w:pStyle w:val="46"/>
          </w:pPr>
        </w:p>
      </w:tc>
      <w:tc>
        <w:tcPr>
          <w:tcW w:w="3081" w:type="dxa"/>
          <w:noWrap w:val="0"/>
          <w:vAlign w:val="top"/>
        </w:tcPr>
        <w:p>
          <w:pPr>
            <w:pStyle w:val="46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rFonts w:cs="Times New Roman"/>
            </w:rPr>
            <w:t>2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  <w:noWrap w:val="0"/>
          <w:vAlign w:val="top"/>
        </w:tcPr>
        <w:p>
          <w:pPr>
            <w:pStyle w:val="253"/>
          </w:pPr>
        </w:p>
      </w:tc>
    </w:tr>
  </w:tbl>
  <w:p>
    <w:pPr>
      <w:pStyle w:val="4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hyphenationZone w:val="360"/>
  <w:drawingGridHorizontalSpacing w:val="120"/>
  <w:displayHorizontalDrawingGridEvery w:val="1"/>
  <w:displayVerticalDrawingGridEvery w:val="1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YzA3OTg4NzEzMGU4MDdhY2MxZGM0ZmJiYzRkNGMifQ=="/>
  </w:docVars>
  <w:rsids>
    <w:rsidRoot w:val="00C51ECC"/>
    <w:rsid w:val="000024FF"/>
    <w:rsid w:val="000027BD"/>
    <w:rsid w:val="000150B7"/>
    <w:rsid w:val="00021AB2"/>
    <w:rsid w:val="000326C8"/>
    <w:rsid w:val="00041C40"/>
    <w:rsid w:val="0004292A"/>
    <w:rsid w:val="000467AA"/>
    <w:rsid w:val="00062616"/>
    <w:rsid w:val="00073E6B"/>
    <w:rsid w:val="0007723F"/>
    <w:rsid w:val="00077D60"/>
    <w:rsid w:val="00083590"/>
    <w:rsid w:val="00092F4E"/>
    <w:rsid w:val="000B58E5"/>
    <w:rsid w:val="000B653C"/>
    <w:rsid w:val="000C6953"/>
    <w:rsid w:val="000E29A9"/>
    <w:rsid w:val="000E3A81"/>
    <w:rsid w:val="00107E19"/>
    <w:rsid w:val="00115F62"/>
    <w:rsid w:val="00123E26"/>
    <w:rsid w:val="00145B05"/>
    <w:rsid w:val="001639D8"/>
    <w:rsid w:val="00186A05"/>
    <w:rsid w:val="001965E2"/>
    <w:rsid w:val="001B4EA1"/>
    <w:rsid w:val="001C5840"/>
    <w:rsid w:val="001D1555"/>
    <w:rsid w:val="001D6168"/>
    <w:rsid w:val="001E0F1F"/>
    <w:rsid w:val="001F346E"/>
    <w:rsid w:val="001F35AA"/>
    <w:rsid w:val="001F367B"/>
    <w:rsid w:val="00224A7C"/>
    <w:rsid w:val="002278D1"/>
    <w:rsid w:val="00231665"/>
    <w:rsid w:val="00233737"/>
    <w:rsid w:val="002403B5"/>
    <w:rsid w:val="00245281"/>
    <w:rsid w:val="00250E61"/>
    <w:rsid w:val="00261F94"/>
    <w:rsid w:val="00267941"/>
    <w:rsid w:val="00287E91"/>
    <w:rsid w:val="00291652"/>
    <w:rsid w:val="002964A1"/>
    <w:rsid w:val="002A25F2"/>
    <w:rsid w:val="002A7C26"/>
    <w:rsid w:val="002F09A7"/>
    <w:rsid w:val="002F5271"/>
    <w:rsid w:val="00306B88"/>
    <w:rsid w:val="00310488"/>
    <w:rsid w:val="00311263"/>
    <w:rsid w:val="0034107F"/>
    <w:rsid w:val="00344D27"/>
    <w:rsid w:val="0035604C"/>
    <w:rsid w:val="00371332"/>
    <w:rsid w:val="003850D4"/>
    <w:rsid w:val="00385F00"/>
    <w:rsid w:val="003866EF"/>
    <w:rsid w:val="003A4565"/>
    <w:rsid w:val="003B27EC"/>
    <w:rsid w:val="003B2F86"/>
    <w:rsid w:val="003B4439"/>
    <w:rsid w:val="003B4C9E"/>
    <w:rsid w:val="003B7CBC"/>
    <w:rsid w:val="003C3456"/>
    <w:rsid w:val="003D7EF5"/>
    <w:rsid w:val="003E3B57"/>
    <w:rsid w:val="003E73DB"/>
    <w:rsid w:val="00410914"/>
    <w:rsid w:val="004119F5"/>
    <w:rsid w:val="004166B2"/>
    <w:rsid w:val="004203EF"/>
    <w:rsid w:val="00427E52"/>
    <w:rsid w:val="00446353"/>
    <w:rsid w:val="0044739B"/>
    <w:rsid w:val="00467A6B"/>
    <w:rsid w:val="0049707A"/>
    <w:rsid w:val="004973DB"/>
    <w:rsid w:val="0049771A"/>
    <w:rsid w:val="004A4BF1"/>
    <w:rsid w:val="004C3420"/>
    <w:rsid w:val="004D018B"/>
    <w:rsid w:val="004D124C"/>
    <w:rsid w:val="004D4435"/>
    <w:rsid w:val="00512A53"/>
    <w:rsid w:val="00523905"/>
    <w:rsid w:val="005251B9"/>
    <w:rsid w:val="00530BB4"/>
    <w:rsid w:val="00545A47"/>
    <w:rsid w:val="0057200D"/>
    <w:rsid w:val="00591CEC"/>
    <w:rsid w:val="005B0CEB"/>
    <w:rsid w:val="005B18A3"/>
    <w:rsid w:val="005D277C"/>
    <w:rsid w:val="005D6D17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2159"/>
    <w:rsid w:val="00645B6A"/>
    <w:rsid w:val="00655225"/>
    <w:rsid w:val="00664174"/>
    <w:rsid w:val="006643EA"/>
    <w:rsid w:val="0067348D"/>
    <w:rsid w:val="006745A9"/>
    <w:rsid w:val="00682729"/>
    <w:rsid w:val="006B4541"/>
    <w:rsid w:val="006D1E2B"/>
    <w:rsid w:val="006E0D98"/>
    <w:rsid w:val="006E3180"/>
    <w:rsid w:val="006E6E26"/>
    <w:rsid w:val="006E70AA"/>
    <w:rsid w:val="006F7A98"/>
    <w:rsid w:val="007029CB"/>
    <w:rsid w:val="00705778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B651A"/>
    <w:rsid w:val="007B6ED8"/>
    <w:rsid w:val="007B75E4"/>
    <w:rsid w:val="007E2608"/>
    <w:rsid w:val="007F1726"/>
    <w:rsid w:val="0080200E"/>
    <w:rsid w:val="00803A33"/>
    <w:rsid w:val="008051ED"/>
    <w:rsid w:val="00811775"/>
    <w:rsid w:val="00816AB9"/>
    <w:rsid w:val="008248B2"/>
    <w:rsid w:val="00834D88"/>
    <w:rsid w:val="00864085"/>
    <w:rsid w:val="008803D0"/>
    <w:rsid w:val="00880F24"/>
    <w:rsid w:val="008836AF"/>
    <w:rsid w:val="00885C9B"/>
    <w:rsid w:val="00893879"/>
    <w:rsid w:val="008B2172"/>
    <w:rsid w:val="008D4ED8"/>
    <w:rsid w:val="008D644E"/>
    <w:rsid w:val="008E5BCA"/>
    <w:rsid w:val="009022B0"/>
    <w:rsid w:val="00905F4A"/>
    <w:rsid w:val="009145E4"/>
    <w:rsid w:val="009301D9"/>
    <w:rsid w:val="0094346F"/>
    <w:rsid w:val="00953187"/>
    <w:rsid w:val="009551E9"/>
    <w:rsid w:val="0096333E"/>
    <w:rsid w:val="009668EC"/>
    <w:rsid w:val="00977C3B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A05705"/>
    <w:rsid w:val="00A16F03"/>
    <w:rsid w:val="00A21136"/>
    <w:rsid w:val="00A3323A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C3273"/>
    <w:rsid w:val="00AC68C4"/>
    <w:rsid w:val="00AD310D"/>
    <w:rsid w:val="00AD3D4D"/>
    <w:rsid w:val="00AE4069"/>
    <w:rsid w:val="00AE7916"/>
    <w:rsid w:val="00AF09EA"/>
    <w:rsid w:val="00AF1D6D"/>
    <w:rsid w:val="00AF5632"/>
    <w:rsid w:val="00B04913"/>
    <w:rsid w:val="00B2169A"/>
    <w:rsid w:val="00B31D4D"/>
    <w:rsid w:val="00B3616B"/>
    <w:rsid w:val="00B37633"/>
    <w:rsid w:val="00B518C9"/>
    <w:rsid w:val="00B52EAC"/>
    <w:rsid w:val="00B54969"/>
    <w:rsid w:val="00B80B9E"/>
    <w:rsid w:val="00B838DA"/>
    <w:rsid w:val="00B86E3A"/>
    <w:rsid w:val="00BA017F"/>
    <w:rsid w:val="00BD535F"/>
    <w:rsid w:val="00BE6E64"/>
    <w:rsid w:val="00BF31B7"/>
    <w:rsid w:val="00BF4F99"/>
    <w:rsid w:val="00C10048"/>
    <w:rsid w:val="00C30E9B"/>
    <w:rsid w:val="00C40523"/>
    <w:rsid w:val="00C424FC"/>
    <w:rsid w:val="00C600D9"/>
    <w:rsid w:val="00C67ADA"/>
    <w:rsid w:val="00C810E8"/>
    <w:rsid w:val="00C847C2"/>
    <w:rsid w:val="00CA6613"/>
    <w:rsid w:val="00CC69AD"/>
    <w:rsid w:val="00CF1664"/>
    <w:rsid w:val="00CF5A8A"/>
    <w:rsid w:val="00D01278"/>
    <w:rsid w:val="00D12AB1"/>
    <w:rsid w:val="00D23B36"/>
    <w:rsid w:val="00D27AEB"/>
    <w:rsid w:val="00D53BAE"/>
    <w:rsid w:val="00D57DBA"/>
    <w:rsid w:val="00D57EBC"/>
    <w:rsid w:val="00D71F76"/>
    <w:rsid w:val="00D77095"/>
    <w:rsid w:val="00D80573"/>
    <w:rsid w:val="00D94BB1"/>
    <w:rsid w:val="00D961C9"/>
    <w:rsid w:val="00D97B80"/>
    <w:rsid w:val="00DA1D73"/>
    <w:rsid w:val="00DB2761"/>
    <w:rsid w:val="00DB2FF6"/>
    <w:rsid w:val="00DD0E0C"/>
    <w:rsid w:val="00DD7765"/>
    <w:rsid w:val="00DE056F"/>
    <w:rsid w:val="00DE522D"/>
    <w:rsid w:val="00E23955"/>
    <w:rsid w:val="00E417DF"/>
    <w:rsid w:val="00E47327"/>
    <w:rsid w:val="00E7385D"/>
    <w:rsid w:val="00E86579"/>
    <w:rsid w:val="00E90A19"/>
    <w:rsid w:val="00E974F8"/>
    <w:rsid w:val="00EA79DA"/>
    <w:rsid w:val="00EC636E"/>
    <w:rsid w:val="00EC7E55"/>
    <w:rsid w:val="00ED6F93"/>
    <w:rsid w:val="00EE7CB8"/>
    <w:rsid w:val="00EF16FB"/>
    <w:rsid w:val="00F02216"/>
    <w:rsid w:val="00F0291C"/>
    <w:rsid w:val="00F101DD"/>
    <w:rsid w:val="00F14193"/>
    <w:rsid w:val="00F14D59"/>
    <w:rsid w:val="00F20CCE"/>
    <w:rsid w:val="00F3614E"/>
    <w:rsid w:val="00F56870"/>
    <w:rsid w:val="00F576E0"/>
    <w:rsid w:val="00F6440C"/>
    <w:rsid w:val="00F901CF"/>
    <w:rsid w:val="00F906EF"/>
    <w:rsid w:val="00FB33FD"/>
    <w:rsid w:val="00FB645E"/>
    <w:rsid w:val="00FC35ED"/>
    <w:rsid w:val="00FD6CD9"/>
    <w:rsid w:val="00FE20D9"/>
    <w:rsid w:val="00FF7804"/>
    <w:rsid w:val="03FDA2BC"/>
    <w:rsid w:val="04177908"/>
    <w:rsid w:val="04904FA4"/>
    <w:rsid w:val="049B3B35"/>
    <w:rsid w:val="05BF65B9"/>
    <w:rsid w:val="07B47BE6"/>
    <w:rsid w:val="097FB9B0"/>
    <w:rsid w:val="0BBD7568"/>
    <w:rsid w:val="0C7A1979"/>
    <w:rsid w:val="0D8DC5E1"/>
    <w:rsid w:val="0D9F6625"/>
    <w:rsid w:val="0ED71A24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20C0769"/>
    <w:rsid w:val="22B372F7"/>
    <w:rsid w:val="23692DE2"/>
    <w:rsid w:val="23FF8C75"/>
    <w:rsid w:val="23FFF0BF"/>
    <w:rsid w:val="25A61B70"/>
    <w:rsid w:val="25FFE568"/>
    <w:rsid w:val="261D4CA0"/>
    <w:rsid w:val="26CFAE11"/>
    <w:rsid w:val="26E439E5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BEC3CD3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4763837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84200E3"/>
    <w:rsid w:val="3A591CC4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93FF3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C208B6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DE4EC5"/>
    <w:rsid w:val="42F753FC"/>
    <w:rsid w:val="43BA3F78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2C332C6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93653E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CE0206"/>
    <w:rsid w:val="69FE46C2"/>
    <w:rsid w:val="69FEEE64"/>
    <w:rsid w:val="69FF8DE6"/>
    <w:rsid w:val="6A3F06E0"/>
    <w:rsid w:val="6A7E6758"/>
    <w:rsid w:val="6AA14909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667D13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8E51D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4521A7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C7E04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6DC4DB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5E147F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3CF8F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DFFE32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unhideWhenUsed/>
    <w:qFormat/>
    <w:uiPriority w:val="1"/>
  </w:style>
  <w:style w:type="table" w:default="1" w:styleId="7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qFormat/>
    <w:uiPriority w:val="0"/>
    <w:pPr>
      <w:ind w:left="1680"/>
    </w:pPr>
  </w:style>
  <w:style w:type="paragraph" w:styleId="40">
    <w:name w:val="index 3"/>
    <w:basedOn w:val="1"/>
    <w:next w:val="1"/>
    <w:qFormat/>
    <w:uiPriority w:val="0"/>
    <w:pPr>
      <w:ind w:left="720" w:hanging="240"/>
    </w:pPr>
  </w:style>
  <w:style w:type="paragraph" w:styleId="41">
    <w:name w:val="Date"/>
    <w:basedOn w:val="1"/>
    <w:next w:val="1"/>
    <w:link w:val="231"/>
    <w:qFormat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8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qFormat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文本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文本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_Style 261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4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_Style 267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  <w:tblStylePr w:type="swCell"/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band2Horz"/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  <w:tblStylePr w:type="band2Horz"/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customStyle="1" w:styleId="331">
    <w:name w:val="_Style 330"/>
    <w:unhideWhenUsed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gj/Z:\Users\jessie\Library\Containers\com.kingsoft.wpsoffice.mac\Data\D:\Users\jessie\Library\Containers\com.kingsoft.wpsoffice.mac\Data\C:\Program%20Files%20(x86)\Microsoft%20Office\Templates\KWM\blan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Pages>2</Pages>
  <Words>975</Words>
  <Characters>1046</Characters>
  <Lines>7</Lines>
  <Paragraphs>2</Paragraphs>
  <TotalTime>0</TotalTime>
  <ScaleCrop>false</ScaleCrop>
  <LinksUpToDate>false</LinksUpToDate>
  <CharactersWithSpaces>1057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2023-10-29T01:13:00Z</dcterms:created>
  <dc:creator>KWM</dc:creator>
  <cp:lastModifiedBy>scjgj</cp:lastModifiedBy>
  <cp:lastPrinted>2022-03-21T21:18:00Z</cp:lastPrinted>
  <dcterms:modified xsi:type="dcterms:W3CDTF">2023-11-17T11:23:13Z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4704EB69D718457896EC234FCCF45887_13</vt:lpwstr>
  </property>
</Properties>
</file>