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bookmarkStart w:id="0" w:name="_GoBack"/>
      <w:r>
        <w:rPr>
          <w:rFonts w:ascii="黑体" w:hAnsi="黑体" w:eastAsia="黑体" w:cs="黑体"/>
          <w:bCs/>
          <w:sz w:val="36"/>
          <w:szCs w:val="36"/>
        </w:rPr>
        <w:t>经营者集中简易案件公示表</w:t>
      </w:r>
    </w:p>
    <w:bookmarkEnd w:id="0"/>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940" w:type="dxa"/>
            <w:shd w:val="clear" w:color="auto" w:fill="D9D9D9"/>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t>案件名称</w:t>
            </w: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佛山市交通发展有限公司与广东港航投资有限公司等经营者新设合营企业案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940" w:type="dxa"/>
            <w:shd w:val="clear" w:color="auto" w:fill="D9D9D9"/>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t>交易概况（限200字内）</w:t>
            </w: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佛山市交通发展有限公司（“</w:t>
            </w:r>
            <w:r>
              <w:rPr>
                <w:rFonts w:hint="eastAsia" w:ascii="宋体" w:hAnsi="宋体" w:eastAsia="宋体" w:cs="宋体"/>
                <w:b/>
                <w:color w:val="000000"/>
                <w:szCs w:val="21"/>
              </w:rPr>
              <w:t>佛山交发</w:t>
            </w:r>
            <w:r>
              <w:rPr>
                <w:rFonts w:hint="eastAsia" w:ascii="宋体" w:hAnsi="宋体" w:eastAsia="宋体" w:cs="宋体"/>
                <w:bCs/>
                <w:color w:val="000000"/>
                <w:szCs w:val="21"/>
              </w:rPr>
              <w:t>”）、广东港航投资有限公司（“</w:t>
            </w:r>
            <w:r>
              <w:rPr>
                <w:rFonts w:hint="eastAsia" w:ascii="宋体" w:hAnsi="宋体" w:eastAsia="宋体" w:cs="宋体"/>
                <w:b/>
                <w:color w:val="000000"/>
                <w:szCs w:val="21"/>
              </w:rPr>
              <w:t>港航投资</w:t>
            </w:r>
            <w:r>
              <w:rPr>
                <w:rFonts w:hint="eastAsia" w:ascii="宋体" w:hAnsi="宋体" w:eastAsia="宋体" w:cs="宋体"/>
                <w:bCs/>
                <w:color w:val="000000"/>
                <w:szCs w:val="21"/>
              </w:rPr>
              <w:t>”）、广东佛盈汇建工程管理有限公司（“广东佛盈”）和佛山市金海通货运物流有限公司（“金海通”）签署协议，成立合营企业，主要从事货物集装箱装卸服务、集装箱堆场服务等业务。</w:t>
            </w:r>
            <w:r>
              <w:rPr>
                <w:rFonts w:hint="eastAsia" w:ascii="宋体" w:hAnsi="宋体" w:eastAsia="宋体" w:cs="宋体"/>
                <w:bCs/>
                <w:color w:val="000000"/>
                <w:szCs w:val="21"/>
              </w:rPr>
              <w:br w:type="textWrapping"/>
            </w:r>
            <w:r>
              <w:rPr>
                <w:rFonts w:hint="eastAsia" w:ascii="宋体" w:hAnsi="宋体" w:eastAsia="宋体" w:cs="宋体"/>
                <w:bCs/>
                <w:color w:val="000000"/>
                <w:szCs w:val="21"/>
              </w:rPr>
              <w:t>交易后，佛山交发、港航投资、广东佛盈和金海通分别持有合营企业40%、35%、15%和10%的股权，佛山交发和港航投资共同控制合营企业。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40" w:type="dxa"/>
            <w:vMerge w:val="restart"/>
            <w:shd w:val="clear" w:color="auto" w:fill="D9D9D9"/>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t>参与集中的经营者简介（每个限</w:t>
            </w:r>
            <w:r>
              <w:rPr>
                <w:rFonts w:hint="eastAsia" w:ascii="宋体" w:hAnsi="宋体" w:eastAsia="宋体" w:cs="宋体"/>
                <w:bCs/>
                <w:color w:val="000000"/>
                <w:szCs w:val="21"/>
              </w:rPr>
              <w:t>100字以内</w:t>
            </w:r>
            <w:r>
              <w:rPr>
                <w:rFonts w:hint="eastAsia" w:ascii="宋体" w:hAnsi="宋体" w:eastAsia="宋体" w:cs="宋体"/>
                <w:bCs/>
                <w:color w:val="000000"/>
                <w:szCs w:val="21"/>
                <w:lang w:val="en-GB"/>
              </w:rPr>
              <w:t>）</w:t>
            </w:r>
          </w:p>
        </w:tc>
        <w:tc>
          <w:tcPr>
            <w:tcW w:w="1607" w:type="dxa"/>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1.佛山交发</w:t>
            </w:r>
          </w:p>
        </w:tc>
        <w:tc>
          <w:tcPr>
            <w:tcW w:w="6093" w:type="dxa"/>
            <w:vAlign w:val="center"/>
          </w:tcPr>
          <w:p>
            <w:pPr>
              <w:adjustRightInd w:val="0"/>
              <w:snapToGrid w:val="0"/>
              <w:rPr>
                <w:rFonts w:ascii="宋体" w:hAnsi="宋体" w:eastAsia="宋体" w:cs="宋体"/>
                <w:bCs/>
                <w:szCs w:val="21"/>
              </w:rPr>
            </w:pPr>
            <w:r>
              <w:rPr>
                <w:rFonts w:hint="eastAsia" w:ascii="宋体" w:hAnsi="宋体" w:eastAsia="宋体" w:cs="宋体"/>
                <w:bCs/>
                <w:szCs w:val="21"/>
              </w:rPr>
              <w:t>佛山交发于1988年3月1日成立于佛山，主要业务为工程物资供应、盘扣式支架租赁、预制构件生产销售等。</w:t>
            </w:r>
          </w:p>
          <w:p>
            <w:pPr>
              <w:adjustRightInd w:val="0"/>
              <w:snapToGrid w:val="0"/>
              <w:rPr>
                <w:rFonts w:ascii="宋体" w:hAnsi="宋体" w:eastAsia="宋体" w:cs="宋体"/>
                <w:bCs/>
                <w:szCs w:val="21"/>
              </w:rPr>
            </w:pPr>
            <w:r>
              <w:rPr>
                <w:rFonts w:hint="eastAsia" w:ascii="宋体" w:hAnsi="宋体" w:eastAsia="宋体" w:cs="宋体"/>
                <w:bCs/>
                <w:szCs w:val="21"/>
              </w:rPr>
              <w:t>佛山交发的最终控制人为佛山市交通投资集团有限公司，主要业务为基础设施投资、建设和交通领域产业的投资、经营等。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1607" w:type="dxa"/>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2.港航投资</w:t>
            </w:r>
          </w:p>
          <w:p>
            <w:pPr>
              <w:adjustRightInd w:val="0"/>
              <w:snapToGrid w:val="0"/>
              <w:rPr>
                <w:rFonts w:ascii="宋体" w:hAnsi="宋体" w:eastAsia="宋体" w:cs="宋体"/>
                <w:bCs/>
                <w:color w:val="000000"/>
                <w:szCs w:val="21"/>
              </w:rPr>
            </w:pPr>
          </w:p>
        </w:tc>
        <w:tc>
          <w:tcPr>
            <w:tcW w:w="6093" w:type="dxa"/>
            <w:vAlign w:val="center"/>
          </w:tcPr>
          <w:p>
            <w:pPr>
              <w:adjustRightInd w:val="0"/>
              <w:snapToGrid w:val="0"/>
              <w:rPr>
                <w:rFonts w:ascii="宋体" w:hAnsi="宋体" w:eastAsia="宋体" w:cs="宋体"/>
                <w:bCs/>
                <w:szCs w:val="21"/>
              </w:rPr>
            </w:pPr>
            <w:r>
              <w:rPr>
                <w:rFonts w:hint="eastAsia" w:ascii="宋体" w:hAnsi="宋体" w:eastAsia="宋体" w:cs="宋体"/>
                <w:bCs/>
                <w:szCs w:val="21"/>
              </w:rPr>
              <w:t>港航投资于2013年7月22日成立于广州，主要业务为企业总部管理、投资咨询服务、企业自有资金投资等。</w:t>
            </w:r>
          </w:p>
          <w:p>
            <w:pPr>
              <w:adjustRightInd w:val="0"/>
              <w:snapToGrid w:val="0"/>
              <w:rPr>
                <w:rFonts w:ascii="宋体" w:hAnsi="宋体" w:eastAsia="宋体" w:cs="宋体"/>
                <w:bCs/>
                <w:szCs w:val="21"/>
              </w:rPr>
            </w:pPr>
            <w:r>
              <w:rPr>
                <w:rFonts w:hint="eastAsia" w:ascii="宋体" w:hAnsi="宋体" w:eastAsia="宋体" w:cs="宋体"/>
                <w:bCs/>
                <w:szCs w:val="21"/>
              </w:rPr>
              <w:t>港航投资最终控制人为广州港集团有限公司，主要业务为装卸搬运、普通货物仓储服务和港口经营等。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40" w:type="dxa"/>
            <w:vMerge w:val="restart"/>
            <w:shd w:val="clear" w:color="auto" w:fill="D9D9D9"/>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t>简易案件理由（可以单选，也可以多选）</w:t>
            </w: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A8"/>
            </w:r>
            <w:r>
              <w:rPr>
                <w:rFonts w:hint="eastAsia" w:ascii="宋体" w:hAnsi="宋体" w:eastAsia="宋体" w:cs="宋体"/>
                <w:bCs/>
                <w:color w:val="000000"/>
                <w:szCs w:val="21"/>
                <w:lang w:val="en-GB"/>
              </w:rPr>
              <w:t xml:space="preserve"> 1、在同一相关市场，所有参与集中的经营者所占市场份额之和小于</w:t>
            </w:r>
            <w:r>
              <w:rPr>
                <w:rFonts w:hint="eastAsia" w:ascii="宋体" w:hAnsi="宋体" w:eastAsia="宋体" w:cs="宋体"/>
                <w:bCs/>
                <w:color w:val="000000"/>
                <w:szCs w:val="21"/>
              </w:rPr>
              <w:t>15%</w:t>
            </w:r>
            <w:r>
              <w:rPr>
                <w:rFonts w:hint="eastAsia" w:ascii="宋体" w:hAnsi="宋体" w:eastAsia="宋体" w:cs="宋体"/>
                <w:bCs/>
                <w:color w:val="00000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A8"/>
            </w:r>
            <w:r>
              <w:rPr>
                <w:rFonts w:hint="eastAsia" w:ascii="宋体" w:hAnsi="宋体" w:eastAsia="宋体" w:cs="宋体"/>
                <w:bCs/>
                <w:color w:val="000000"/>
                <w:szCs w:val="21"/>
                <w:lang w:val="en-GB"/>
              </w:rPr>
              <w:t xml:space="preserve"> 2、存在上下游关系的参与集中的经营者，在上下游市场所占的市场份额均小于</w:t>
            </w:r>
            <w:r>
              <w:rPr>
                <w:rFonts w:hint="eastAsia" w:ascii="宋体" w:hAnsi="宋体" w:eastAsia="宋体" w:cs="宋体"/>
                <w:bCs/>
                <w:color w:val="000000"/>
                <w:szCs w:val="21"/>
              </w:rPr>
              <w:t>25%</w:t>
            </w:r>
            <w:r>
              <w:rPr>
                <w:rFonts w:hint="eastAsia" w:ascii="宋体" w:hAnsi="宋体" w:eastAsia="宋体" w:cs="宋体"/>
                <w:bCs/>
                <w:color w:val="00000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FE"/>
            </w:r>
            <w:r>
              <w:rPr>
                <w:rFonts w:hint="eastAsia" w:ascii="宋体" w:hAnsi="宋体" w:eastAsia="宋体" w:cs="宋体"/>
                <w:bCs/>
                <w:color w:val="000000"/>
                <w:szCs w:val="21"/>
                <w:lang w:val="en-GB"/>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A8"/>
            </w:r>
            <w:r>
              <w:rPr>
                <w:rFonts w:hint="eastAsia" w:ascii="宋体" w:hAnsi="宋体" w:eastAsia="宋体" w:cs="宋体"/>
                <w:bCs/>
                <w:color w:val="000000"/>
                <w:szCs w:val="21"/>
                <w:lang w:val="en-GB"/>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A8"/>
            </w:r>
            <w:r>
              <w:rPr>
                <w:rFonts w:hint="eastAsia" w:ascii="宋体" w:hAnsi="宋体" w:eastAsia="宋体" w:cs="宋体"/>
                <w:bCs/>
                <w:color w:val="000000"/>
                <w:szCs w:val="21"/>
                <w:lang w:val="en-GB"/>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40" w:type="dxa"/>
            <w:vMerge w:val="continue"/>
            <w:shd w:val="clear" w:color="auto" w:fill="D9D9D9"/>
            <w:vAlign w:val="center"/>
          </w:tcPr>
          <w:p>
            <w:pPr>
              <w:adjustRightInd w:val="0"/>
              <w:snapToGrid w:val="0"/>
              <w:rPr>
                <w:rFonts w:ascii="宋体" w:hAnsi="宋体" w:eastAsia="宋体" w:cs="宋体"/>
                <w:bCs/>
                <w:color w:val="000000"/>
                <w:szCs w:val="21"/>
              </w:rPr>
            </w:pPr>
          </w:p>
        </w:tc>
        <w:tc>
          <w:tcPr>
            <w:tcW w:w="7700" w:type="dxa"/>
            <w:gridSpan w:val="2"/>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lang w:val="en-GB"/>
              </w:rPr>
              <w:sym w:font="Wingdings" w:char="00A8"/>
            </w:r>
            <w:r>
              <w:rPr>
                <w:rFonts w:hint="eastAsia" w:ascii="宋体" w:hAnsi="宋体" w:eastAsia="宋体" w:cs="宋体"/>
                <w:bCs/>
                <w:color w:val="000000"/>
                <w:szCs w:val="21"/>
                <w:lang w:val="en-GB"/>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940" w:type="dxa"/>
            <w:shd w:val="clear" w:color="auto" w:fill="D9D9D9"/>
            <w:vAlign w:val="center"/>
          </w:tcPr>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备注</w:t>
            </w:r>
          </w:p>
        </w:tc>
        <w:tc>
          <w:tcPr>
            <w:tcW w:w="7700" w:type="dxa"/>
            <w:gridSpan w:val="2"/>
            <w:vAlign w:val="center"/>
          </w:tcPr>
          <w:p>
            <w:pPr>
              <w:adjustRightInd w:val="0"/>
              <w:snapToGrid w:val="0"/>
              <w:rPr>
                <w:rFonts w:ascii="宋体" w:hAnsi="宋体" w:eastAsia="宋体" w:cs="宋体"/>
                <w:b/>
                <w:color w:val="000000"/>
                <w:szCs w:val="21"/>
              </w:rPr>
            </w:pPr>
            <w:r>
              <w:rPr>
                <w:rFonts w:hint="eastAsia" w:ascii="宋体" w:hAnsi="宋体" w:eastAsia="宋体" w:cs="宋体"/>
                <w:b/>
                <w:color w:val="000000"/>
                <w:szCs w:val="21"/>
                <w:lang w:eastAsia="zh-CN"/>
              </w:rPr>
              <w:t>混合集中</w:t>
            </w:r>
            <w:r>
              <w:rPr>
                <w:rFonts w:hint="eastAsia" w:ascii="宋体" w:hAnsi="宋体" w:eastAsia="宋体" w:cs="宋体"/>
                <w:b/>
                <w:color w:val="000000"/>
                <w:szCs w:val="21"/>
              </w:rPr>
              <w:t>：</w:t>
            </w:r>
          </w:p>
          <w:p>
            <w:pPr>
              <w:adjustRightInd w:val="0"/>
              <w:snapToGrid w:val="0"/>
              <w:rPr>
                <w:rFonts w:ascii="宋体" w:hAnsi="宋体" w:eastAsia="宋体" w:cs="宋体"/>
                <w:bCs/>
                <w:color w:val="000000"/>
                <w:szCs w:val="21"/>
              </w:rPr>
            </w:pPr>
            <w:r>
              <w:rPr>
                <w:rFonts w:hint="eastAsia" w:ascii="宋体" w:hAnsi="宋体" w:eastAsia="宋体" w:cs="宋体"/>
                <w:bCs/>
                <w:color w:val="000000"/>
                <w:szCs w:val="21"/>
              </w:rPr>
              <w:t>2022年中国境内集装箱堆场服务市场：</w:t>
            </w:r>
          </w:p>
          <w:p>
            <w:pPr>
              <w:adjustRightInd w:val="0"/>
              <w:snapToGrid w:val="0"/>
              <w:rPr>
                <w:rFonts w:hint="eastAsia" w:ascii="仿宋" w:hAnsi="仿宋" w:eastAsia="仿宋"/>
                <w:bCs/>
                <w:szCs w:val="21"/>
                <w:lang w:val="en-US" w:eastAsia="zh-CN"/>
              </w:rPr>
            </w:pPr>
            <w:r>
              <w:rPr>
                <w:rFonts w:hint="eastAsia" w:ascii="宋体" w:hAnsi="宋体" w:eastAsia="宋体" w:cs="宋体"/>
                <w:bCs/>
                <w:color w:val="000000"/>
                <w:szCs w:val="21"/>
              </w:rPr>
              <w:t>港航投资：</w:t>
            </w:r>
            <w:r>
              <w:rPr>
                <w:rFonts w:ascii="仿宋" w:hAnsi="仿宋" w:eastAsia="仿宋"/>
                <w:bCs/>
                <w:szCs w:val="21"/>
              </w:rPr>
              <w:t>0</w:t>
            </w:r>
            <w:r>
              <w:rPr>
                <w:rFonts w:hint="eastAsia" w:ascii="仿宋" w:hAnsi="仿宋" w:eastAsia="仿宋"/>
                <w:bCs/>
                <w:szCs w:val="21"/>
                <w:lang w:val="en-US" w:eastAsia="zh-CN"/>
              </w:rPr>
              <w:t>-5%</w:t>
            </w:r>
          </w:p>
          <w:p>
            <w:pPr>
              <w:adjustRightInd w:val="0"/>
              <w:snapToGrid w:val="0"/>
              <w:rPr>
                <w:rFonts w:hint="eastAsia" w:ascii="仿宋" w:hAnsi="仿宋" w:eastAsia="仿宋"/>
                <w:bCs/>
                <w:szCs w:val="21"/>
                <w:lang w:val="en-US" w:eastAsia="zh-CN"/>
              </w:rPr>
            </w:pPr>
          </w:p>
          <w:p>
            <w:pPr>
              <w:adjustRightInd w:val="0"/>
              <w:snapToGrid w:val="0"/>
              <w:rPr>
                <w:rFonts w:ascii="宋体" w:hAnsi="宋体" w:eastAsia="宋体" w:cs="宋体"/>
                <w:bCs/>
                <w:szCs w:val="21"/>
              </w:rPr>
            </w:pPr>
            <w:r>
              <w:rPr>
                <w:rFonts w:hint="eastAsia" w:ascii="宋体" w:hAnsi="宋体" w:eastAsia="宋体" w:cs="宋体"/>
                <w:bCs/>
                <w:szCs w:val="21"/>
              </w:rPr>
              <w:t>2022年</w:t>
            </w:r>
            <w:r>
              <w:rPr>
                <w:rFonts w:hint="eastAsia" w:ascii="宋体" w:hAnsi="宋体" w:eastAsia="宋体" w:cs="宋体"/>
                <w:bCs/>
                <w:szCs w:val="21"/>
                <w:lang w:val="en-GB"/>
              </w:rPr>
              <w:t>中国境内集装箱装卸服务</w:t>
            </w:r>
            <w:r>
              <w:rPr>
                <w:rFonts w:hint="eastAsia" w:ascii="宋体" w:hAnsi="宋体" w:eastAsia="宋体" w:cs="宋体"/>
                <w:bCs/>
                <w:szCs w:val="21"/>
              </w:rPr>
              <w:t>市场:</w:t>
            </w:r>
          </w:p>
          <w:p>
            <w:pPr>
              <w:adjustRightInd w:val="0"/>
              <w:snapToGrid w:val="0"/>
              <w:rPr>
                <w:rFonts w:hint="default" w:ascii="宋体" w:hAnsi="宋体" w:eastAsia="宋体" w:cs="宋体"/>
                <w:bCs/>
                <w:color w:val="000000"/>
                <w:szCs w:val="21"/>
                <w:lang w:val="en-US" w:eastAsia="zh-CN"/>
              </w:rPr>
            </w:pPr>
            <w:r>
              <w:rPr>
                <w:rFonts w:hint="eastAsia" w:ascii="宋体" w:hAnsi="宋体" w:eastAsia="宋体" w:cs="宋体"/>
                <w:bCs/>
                <w:szCs w:val="21"/>
              </w:rPr>
              <w:t>港航投资：</w:t>
            </w:r>
            <w:r>
              <w:rPr>
                <w:rFonts w:hint="eastAsia" w:ascii="仿宋" w:hAnsi="仿宋" w:eastAsia="仿宋"/>
                <w:bCs/>
                <w:szCs w:val="21"/>
              </w:rPr>
              <w:t>0</w:t>
            </w:r>
            <w:r>
              <w:rPr>
                <w:rFonts w:hint="eastAsia" w:ascii="仿宋" w:hAnsi="仿宋" w:eastAsia="仿宋"/>
                <w:bCs/>
                <w:szCs w:val="21"/>
                <w:lang w:val="en-US" w:eastAsia="zh-CN"/>
              </w:rPr>
              <w:t>-5%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35365435"/>
    <w:rsid w:val="35365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2023-11-13T12:19:00Z</dcterms:created>
  <dc:creator>胡翌婧</dc:creator>
  <cp:lastModifiedBy>胡翌婧</cp:lastModifiedBy>
  <dcterms:modified xsi:type="dcterms:W3CDTF">2023-11-13T12:20:14Z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8D32C50A776E48F985D27CBD45694B1F_11</vt:lpwstr>
  </property>
</Properties>
</file>