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E962" w14:textId="6DCC5D3A" w:rsidR="00CB00DF" w:rsidRPr="00B66062" w:rsidRDefault="00CB00DF" w:rsidP="00554B02">
      <w:pPr>
        <w:jc w:val="center"/>
        <w:rPr>
          <w:rFonts w:ascii="Times New Roman" w:eastAsia="黑体" w:hAnsi="Times New Roman"/>
          <w:sz w:val="36"/>
          <w:szCs w:val="36"/>
        </w:rPr>
      </w:pPr>
      <w:r w:rsidRPr="00B66062">
        <w:rPr>
          <w:rFonts w:ascii="Times New Roman" w:eastAsia="黑体" w:hAnsi="Times New Roman"/>
          <w:sz w:val="36"/>
          <w:szCs w:val="36"/>
        </w:rPr>
        <w:t>经营者集中简易案件公示表</w:t>
      </w:r>
      <w:bookmarkStart w:id="0" w:name="_GoBack"/>
      <w:bookmarkEnd w:id="0"/>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70"/>
        <w:gridCol w:w="5271"/>
      </w:tblGrid>
      <w:tr w:rsidR="003C0F31" w:rsidRPr="0085729B" w14:paraId="3CEC5701" w14:textId="77777777" w:rsidTr="00794B1C">
        <w:trPr>
          <w:trHeight w:val="510"/>
        </w:trPr>
        <w:tc>
          <w:tcPr>
            <w:tcW w:w="1555" w:type="dxa"/>
            <w:shd w:val="clear" w:color="auto" w:fill="D9D9D9"/>
            <w:vAlign w:val="center"/>
          </w:tcPr>
          <w:p w14:paraId="5C282CCA"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案件名称</w:t>
            </w:r>
          </w:p>
        </w:tc>
        <w:tc>
          <w:tcPr>
            <w:tcW w:w="6741" w:type="dxa"/>
            <w:gridSpan w:val="2"/>
            <w:vAlign w:val="center"/>
          </w:tcPr>
          <w:p w14:paraId="0C4B3992" w14:textId="2677F84E" w:rsidR="00CB00DF" w:rsidRPr="002D0D4A" w:rsidRDefault="0072587C" w:rsidP="002D0D4A">
            <w:pPr>
              <w:adjustRightInd w:val="0"/>
              <w:snapToGrid w:val="0"/>
              <w:rPr>
                <w:rFonts w:ascii="宋体" w:hAnsi="宋体"/>
                <w:color w:val="000000" w:themeColor="text1"/>
                <w:kern w:val="0"/>
                <w:sz w:val="24"/>
                <w:szCs w:val="24"/>
                <w:bdr w:val="none" w:sz="0" w:space="0" w:color="auto" w:frame="1"/>
              </w:rPr>
            </w:pPr>
            <w:r>
              <w:rPr>
                <w:rFonts w:ascii="宋体" w:hAnsi="宋体" w:hint="eastAsia"/>
                <w:color w:val="000000" w:themeColor="text1"/>
                <w:kern w:val="0"/>
                <w:sz w:val="24"/>
                <w:szCs w:val="24"/>
                <w:bdr w:val="none" w:sz="0" w:space="0" w:color="auto" w:frame="1"/>
              </w:rPr>
              <w:t>杭州游鹭企业管理有限公司</w:t>
            </w:r>
            <w:r w:rsidR="00E87DA4" w:rsidRPr="00E87DA4">
              <w:rPr>
                <w:rFonts w:ascii="宋体" w:hAnsi="宋体" w:hint="eastAsia"/>
                <w:color w:val="000000" w:themeColor="text1"/>
                <w:kern w:val="0"/>
                <w:sz w:val="24"/>
                <w:szCs w:val="24"/>
                <w:bdr w:val="none" w:sz="0" w:space="0" w:color="auto" w:frame="1"/>
              </w:rPr>
              <w:t>与中诚资本管理（北京）有限公司新设合营企业案</w:t>
            </w:r>
          </w:p>
        </w:tc>
      </w:tr>
      <w:tr w:rsidR="003C0F31" w:rsidRPr="004A09AC" w14:paraId="6A67DDE1" w14:textId="77777777" w:rsidTr="00CF7783">
        <w:trPr>
          <w:trHeight w:val="993"/>
        </w:trPr>
        <w:tc>
          <w:tcPr>
            <w:tcW w:w="1555" w:type="dxa"/>
            <w:shd w:val="clear" w:color="auto" w:fill="D9D9D9"/>
            <w:vAlign w:val="center"/>
          </w:tcPr>
          <w:p w14:paraId="51D28758" w14:textId="77777777" w:rsidR="00F1624E"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交易概况</w:t>
            </w:r>
          </w:p>
          <w:p w14:paraId="149F2DD6"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（限</w:t>
            </w:r>
            <w:r w:rsidRPr="002D0D4A">
              <w:rPr>
                <w:rFonts w:ascii="宋体" w:hAnsi="宋体"/>
                <w:color w:val="000000" w:themeColor="text1"/>
                <w:kern w:val="0"/>
                <w:sz w:val="24"/>
                <w:szCs w:val="24"/>
                <w:bdr w:val="none" w:sz="0" w:space="0" w:color="auto" w:frame="1"/>
              </w:rPr>
              <w:t>200</w:t>
            </w:r>
            <w:r w:rsidRPr="002D0D4A">
              <w:rPr>
                <w:rFonts w:ascii="宋体" w:hAnsi="宋体" w:hint="eastAsia"/>
                <w:color w:val="000000" w:themeColor="text1"/>
                <w:kern w:val="0"/>
                <w:sz w:val="24"/>
                <w:szCs w:val="24"/>
                <w:bdr w:val="none" w:sz="0" w:space="0" w:color="auto" w:frame="1"/>
              </w:rPr>
              <w:t>字内）</w:t>
            </w:r>
          </w:p>
        </w:tc>
        <w:tc>
          <w:tcPr>
            <w:tcW w:w="6741" w:type="dxa"/>
            <w:gridSpan w:val="2"/>
          </w:tcPr>
          <w:p w14:paraId="39AE2FAD" w14:textId="01DBA376" w:rsidR="00E87DA4" w:rsidRPr="002D0D4A" w:rsidRDefault="0072587C" w:rsidP="004C76F0">
            <w:pPr>
              <w:adjustRightInd w:val="0"/>
              <w:snapToGrid w:val="0"/>
              <w:rPr>
                <w:rFonts w:ascii="宋体" w:hAnsi="宋体"/>
                <w:color w:val="000000" w:themeColor="text1"/>
                <w:kern w:val="0"/>
                <w:sz w:val="24"/>
                <w:szCs w:val="24"/>
                <w:highlight w:val="yellow"/>
                <w:bdr w:val="none" w:sz="0" w:space="0" w:color="auto" w:frame="1"/>
              </w:rPr>
            </w:pPr>
            <w:r>
              <w:rPr>
                <w:rFonts w:ascii="宋体" w:hAnsi="宋体" w:hint="eastAsia"/>
                <w:color w:val="000000" w:themeColor="text1"/>
                <w:kern w:val="0"/>
                <w:sz w:val="24"/>
                <w:szCs w:val="24"/>
                <w:bdr w:val="none" w:sz="0" w:space="0" w:color="auto" w:frame="1"/>
              </w:rPr>
              <w:t>杭州游鹭企业管理有限公司</w:t>
            </w:r>
            <w:r w:rsidR="00E87DA4" w:rsidRPr="00E87DA4">
              <w:rPr>
                <w:rFonts w:ascii="宋体" w:hAnsi="宋体" w:hint="eastAsia"/>
                <w:color w:val="000000" w:themeColor="text1"/>
                <w:kern w:val="0"/>
                <w:sz w:val="24"/>
                <w:szCs w:val="24"/>
                <w:bdr w:val="none" w:sz="0" w:space="0" w:color="auto" w:frame="1"/>
              </w:rPr>
              <w:t>（“</w:t>
            </w:r>
            <w:r>
              <w:rPr>
                <w:rFonts w:ascii="宋体" w:hAnsi="宋体" w:hint="eastAsia"/>
                <w:b/>
                <w:color w:val="000000" w:themeColor="text1"/>
                <w:kern w:val="0"/>
                <w:sz w:val="24"/>
                <w:szCs w:val="24"/>
                <w:bdr w:val="none" w:sz="0" w:space="0" w:color="auto" w:frame="1"/>
              </w:rPr>
              <w:t>杭州游鹭</w:t>
            </w:r>
            <w:r w:rsidR="00E87DA4" w:rsidRPr="00E87DA4">
              <w:rPr>
                <w:rFonts w:ascii="宋体" w:hAnsi="宋体" w:hint="eastAsia"/>
                <w:color w:val="000000" w:themeColor="text1"/>
                <w:kern w:val="0"/>
                <w:sz w:val="24"/>
                <w:szCs w:val="24"/>
                <w:bdr w:val="none" w:sz="0" w:space="0" w:color="auto" w:frame="1"/>
              </w:rPr>
              <w:t>”）与中诚资本管理（北京）有限公司（“</w:t>
            </w:r>
            <w:r w:rsidR="00E87DA4" w:rsidRPr="004C76F0">
              <w:rPr>
                <w:rFonts w:ascii="宋体" w:hAnsi="宋体" w:hint="eastAsia"/>
                <w:b/>
                <w:color w:val="000000" w:themeColor="text1"/>
                <w:kern w:val="0"/>
                <w:sz w:val="24"/>
                <w:szCs w:val="24"/>
                <w:bdr w:val="none" w:sz="0" w:space="0" w:color="auto" w:frame="1"/>
              </w:rPr>
              <w:t>中诚资本</w:t>
            </w:r>
            <w:r w:rsidR="00E87DA4" w:rsidRPr="00E87DA4">
              <w:rPr>
                <w:rFonts w:ascii="宋体" w:hAnsi="宋体" w:hint="eastAsia"/>
                <w:color w:val="000000" w:themeColor="text1"/>
                <w:kern w:val="0"/>
                <w:sz w:val="24"/>
                <w:szCs w:val="24"/>
                <w:bdr w:val="none" w:sz="0" w:space="0" w:color="auto" w:frame="1"/>
              </w:rPr>
              <w:t>”）</w:t>
            </w:r>
            <w:r w:rsidR="00BB04A1">
              <w:rPr>
                <w:rFonts w:ascii="宋体" w:hAnsi="宋体" w:hint="eastAsia"/>
                <w:color w:val="000000" w:themeColor="text1"/>
                <w:kern w:val="0"/>
                <w:sz w:val="24"/>
                <w:szCs w:val="24"/>
                <w:bdr w:val="none" w:sz="0" w:space="0" w:color="auto" w:frame="1"/>
              </w:rPr>
              <w:t>等</w:t>
            </w:r>
            <w:r w:rsidR="00E87DA4" w:rsidRPr="00E87DA4">
              <w:rPr>
                <w:rFonts w:ascii="宋体" w:hAnsi="宋体" w:hint="eastAsia"/>
                <w:color w:val="000000" w:themeColor="text1"/>
                <w:kern w:val="0"/>
                <w:sz w:val="24"/>
                <w:szCs w:val="24"/>
                <w:bdr w:val="none" w:sz="0" w:space="0" w:color="auto" w:frame="1"/>
              </w:rPr>
              <w:t>签署《有限合伙协议》拟设立</w:t>
            </w:r>
            <w:r w:rsidR="00BB04A1">
              <w:rPr>
                <w:rFonts w:ascii="宋体" w:hAnsi="宋体" w:hint="eastAsia"/>
                <w:color w:val="000000" w:themeColor="text1"/>
                <w:kern w:val="0"/>
                <w:sz w:val="24"/>
                <w:szCs w:val="24"/>
                <w:bdr w:val="none" w:sz="0" w:space="0" w:color="auto" w:frame="1"/>
              </w:rPr>
              <w:t>一家</w:t>
            </w:r>
            <w:r w:rsidR="00E87DA4" w:rsidRPr="00E87DA4">
              <w:rPr>
                <w:rFonts w:ascii="宋体" w:hAnsi="宋体" w:hint="eastAsia"/>
                <w:color w:val="000000" w:themeColor="text1"/>
                <w:kern w:val="0"/>
                <w:sz w:val="24"/>
                <w:szCs w:val="24"/>
                <w:bdr w:val="none" w:sz="0" w:space="0" w:color="auto" w:frame="1"/>
              </w:rPr>
              <w:t>合营企业（“</w:t>
            </w:r>
            <w:r w:rsidR="00E87DA4" w:rsidRPr="004C76F0">
              <w:rPr>
                <w:rFonts w:ascii="宋体" w:hAnsi="宋体" w:hint="eastAsia"/>
                <w:b/>
                <w:color w:val="000000" w:themeColor="text1"/>
                <w:kern w:val="0"/>
                <w:sz w:val="24"/>
                <w:szCs w:val="24"/>
                <w:bdr w:val="none" w:sz="0" w:space="0" w:color="auto" w:frame="1"/>
              </w:rPr>
              <w:t>本次交易</w:t>
            </w:r>
            <w:r w:rsidR="00BB04A1">
              <w:rPr>
                <w:rFonts w:ascii="宋体" w:hAnsi="宋体" w:hint="eastAsia"/>
                <w:color w:val="000000" w:themeColor="text1"/>
                <w:kern w:val="0"/>
                <w:sz w:val="24"/>
                <w:szCs w:val="24"/>
                <w:bdr w:val="none" w:sz="0" w:space="0" w:color="auto" w:frame="1"/>
              </w:rPr>
              <w:t>”）。</w:t>
            </w:r>
            <w:r w:rsidR="003647F1">
              <w:rPr>
                <w:rFonts w:ascii="宋体" w:hAnsi="宋体" w:hint="eastAsia"/>
                <w:color w:val="000000" w:themeColor="text1"/>
                <w:kern w:val="0"/>
                <w:sz w:val="24"/>
                <w:szCs w:val="24"/>
                <w:bdr w:val="none" w:sz="0" w:space="0" w:color="auto" w:frame="1"/>
              </w:rPr>
              <w:t>合营企业未来</w:t>
            </w:r>
            <w:r w:rsidR="00E87DA4" w:rsidRPr="00E87DA4">
              <w:rPr>
                <w:rFonts w:ascii="宋体" w:hAnsi="宋体" w:hint="eastAsia"/>
                <w:color w:val="000000" w:themeColor="text1"/>
                <w:kern w:val="0"/>
                <w:sz w:val="24"/>
                <w:szCs w:val="24"/>
                <w:bdr w:val="none" w:sz="0" w:space="0" w:color="auto" w:frame="1"/>
              </w:rPr>
              <w:t>仅从事物流</w:t>
            </w:r>
            <w:r w:rsidR="00BB04A1">
              <w:rPr>
                <w:rFonts w:ascii="宋体" w:hAnsi="宋体" w:hint="eastAsia"/>
                <w:color w:val="000000" w:themeColor="text1"/>
                <w:kern w:val="0"/>
                <w:sz w:val="24"/>
                <w:szCs w:val="24"/>
                <w:bdr w:val="none" w:sz="0" w:space="0" w:color="auto" w:frame="1"/>
              </w:rPr>
              <w:t>地产领域的私募股权投资基金业务</w:t>
            </w:r>
            <w:r w:rsidR="00E87DA4" w:rsidRPr="00E87DA4">
              <w:rPr>
                <w:rFonts w:ascii="宋体" w:hAnsi="宋体" w:hint="eastAsia"/>
                <w:color w:val="000000" w:themeColor="text1"/>
                <w:kern w:val="0"/>
                <w:sz w:val="24"/>
                <w:szCs w:val="24"/>
                <w:bdr w:val="none" w:sz="0" w:space="0" w:color="auto" w:frame="1"/>
              </w:rPr>
              <w:t>。本次交易后，</w:t>
            </w:r>
            <w:r>
              <w:rPr>
                <w:rFonts w:ascii="宋体" w:hAnsi="宋体" w:hint="eastAsia"/>
                <w:color w:val="000000" w:themeColor="text1"/>
                <w:kern w:val="0"/>
                <w:sz w:val="24"/>
                <w:szCs w:val="24"/>
                <w:bdr w:val="none" w:sz="0" w:space="0" w:color="auto" w:frame="1"/>
              </w:rPr>
              <w:t>杭州游鹭</w:t>
            </w:r>
            <w:r w:rsidR="00E87DA4" w:rsidRPr="00E87DA4">
              <w:rPr>
                <w:rFonts w:ascii="宋体" w:hAnsi="宋体" w:hint="eastAsia"/>
                <w:color w:val="000000" w:themeColor="text1"/>
                <w:kern w:val="0"/>
                <w:sz w:val="24"/>
                <w:szCs w:val="24"/>
                <w:bdr w:val="none" w:sz="0" w:space="0" w:color="auto" w:frame="1"/>
              </w:rPr>
              <w:t>与中诚资本将共同担任合营企业的普通合伙人及执行事务合伙人，共同控制合营企业。</w:t>
            </w:r>
          </w:p>
        </w:tc>
      </w:tr>
      <w:tr w:rsidR="00D406A7" w:rsidRPr="0085729B" w14:paraId="35D332F4" w14:textId="77777777" w:rsidTr="00CF7783">
        <w:trPr>
          <w:trHeight w:val="468"/>
        </w:trPr>
        <w:tc>
          <w:tcPr>
            <w:tcW w:w="1555" w:type="dxa"/>
            <w:vMerge w:val="restart"/>
            <w:shd w:val="clear" w:color="auto" w:fill="D9D9D9"/>
            <w:vAlign w:val="center"/>
          </w:tcPr>
          <w:p w14:paraId="2DB7FF5E"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参与集中的</w:t>
            </w:r>
          </w:p>
          <w:p w14:paraId="06CC91F1"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经营者简介</w:t>
            </w:r>
          </w:p>
        </w:tc>
        <w:tc>
          <w:tcPr>
            <w:tcW w:w="1470" w:type="dxa"/>
            <w:vAlign w:val="center"/>
          </w:tcPr>
          <w:p w14:paraId="71078764" w14:textId="6B875CBF" w:rsidR="00D406A7" w:rsidRPr="002D0D4A" w:rsidRDefault="00D406A7" w:rsidP="004C76F0">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1</w:t>
            </w:r>
            <w:r w:rsidRPr="002D0D4A">
              <w:rPr>
                <w:rFonts w:ascii="宋体" w:hAnsi="宋体" w:hint="eastAsia"/>
                <w:color w:val="000000" w:themeColor="text1"/>
                <w:kern w:val="0"/>
                <w:sz w:val="24"/>
                <w:szCs w:val="24"/>
                <w:bdr w:val="none" w:sz="0" w:space="0" w:color="auto" w:frame="1"/>
              </w:rPr>
              <w:t>、</w:t>
            </w:r>
            <w:r w:rsidR="0072587C">
              <w:rPr>
                <w:rFonts w:ascii="宋体" w:hAnsi="宋体" w:hint="eastAsia"/>
                <w:color w:val="000000" w:themeColor="text1"/>
                <w:kern w:val="0"/>
                <w:sz w:val="24"/>
                <w:szCs w:val="24"/>
                <w:bdr w:val="none" w:sz="0" w:space="0" w:color="auto" w:frame="1"/>
              </w:rPr>
              <w:t>杭州游鹭</w:t>
            </w:r>
          </w:p>
        </w:tc>
        <w:tc>
          <w:tcPr>
            <w:tcW w:w="5271" w:type="dxa"/>
          </w:tcPr>
          <w:p w14:paraId="45A7F97E" w14:textId="3D42771D" w:rsidR="003647F1" w:rsidRPr="003647F1" w:rsidRDefault="0072587C" w:rsidP="003647F1">
            <w:pPr>
              <w:adjustRightInd w:val="0"/>
              <w:snapToGrid w:val="0"/>
              <w:rPr>
                <w:rFonts w:ascii="宋体" w:hAnsi="宋体"/>
                <w:color w:val="000000" w:themeColor="text1"/>
                <w:kern w:val="0"/>
                <w:sz w:val="24"/>
                <w:szCs w:val="24"/>
                <w:bdr w:val="none" w:sz="0" w:space="0" w:color="auto" w:frame="1"/>
              </w:rPr>
            </w:pPr>
            <w:r>
              <w:rPr>
                <w:rFonts w:ascii="宋体" w:hAnsi="宋体" w:hint="eastAsia"/>
                <w:color w:val="000000" w:themeColor="text1"/>
                <w:kern w:val="0"/>
                <w:sz w:val="24"/>
                <w:szCs w:val="24"/>
                <w:bdr w:val="none" w:sz="0" w:space="0" w:color="auto" w:frame="1"/>
              </w:rPr>
              <w:t>杭州游鹭</w:t>
            </w:r>
            <w:r w:rsidR="003647F1" w:rsidRPr="003647F1">
              <w:rPr>
                <w:rFonts w:ascii="宋体" w:hAnsi="宋体" w:hint="eastAsia"/>
                <w:color w:val="000000" w:themeColor="text1"/>
                <w:kern w:val="0"/>
                <w:sz w:val="24"/>
                <w:szCs w:val="24"/>
                <w:bdr w:val="none" w:sz="0" w:space="0" w:color="auto" w:frame="1"/>
              </w:rPr>
              <w:t>于</w:t>
            </w:r>
            <w:r w:rsidR="00453805">
              <w:rPr>
                <w:rFonts w:ascii="宋体" w:hAnsi="宋体"/>
                <w:color w:val="000000" w:themeColor="text1"/>
                <w:kern w:val="0"/>
                <w:sz w:val="24"/>
                <w:szCs w:val="24"/>
                <w:bdr w:val="none" w:sz="0" w:space="0" w:color="auto" w:frame="1"/>
              </w:rPr>
              <w:t>2023</w:t>
            </w:r>
            <w:r w:rsidR="003647F1" w:rsidRPr="003647F1">
              <w:rPr>
                <w:rFonts w:ascii="宋体" w:hAnsi="宋体" w:hint="eastAsia"/>
                <w:color w:val="000000" w:themeColor="text1"/>
                <w:kern w:val="0"/>
                <w:sz w:val="24"/>
                <w:szCs w:val="24"/>
                <w:bdr w:val="none" w:sz="0" w:space="0" w:color="auto" w:frame="1"/>
              </w:rPr>
              <w:t>年</w:t>
            </w:r>
            <w:r w:rsidR="00966726">
              <w:rPr>
                <w:rFonts w:ascii="宋体" w:hAnsi="宋体" w:hint="eastAsia"/>
                <w:color w:val="000000" w:themeColor="text1"/>
                <w:kern w:val="0"/>
                <w:sz w:val="24"/>
                <w:szCs w:val="24"/>
                <w:bdr w:val="none" w:sz="0" w:space="0" w:color="auto" w:frame="1"/>
              </w:rPr>
              <w:t>9</w:t>
            </w:r>
            <w:r w:rsidR="003647F1" w:rsidRPr="003647F1">
              <w:rPr>
                <w:rFonts w:ascii="宋体" w:hAnsi="宋体" w:hint="eastAsia"/>
                <w:color w:val="000000" w:themeColor="text1"/>
                <w:kern w:val="0"/>
                <w:sz w:val="24"/>
                <w:szCs w:val="24"/>
                <w:bdr w:val="none" w:sz="0" w:space="0" w:color="auto" w:frame="1"/>
              </w:rPr>
              <w:t>月</w:t>
            </w:r>
            <w:r w:rsidR="00966726">
              <w:rPr>
                <w:rFonts w:ascii="宋体" w:hAnsi="宋体" w:hint="eastAsia"/>
                <w:color w:val="000000" w:themeColor="text1"/>
                <w:kern w:val="0"/>
                <w:sz w:val="24"/>
                <w:szCs w:val="24"/>
                <w:bdr w:val="none" w:sz="0" w:space="0" w:color="auto" w:frame="1"/>
              </w:rPr>
              <w:t>7</w:t>
            </w:r>
            <w:r w:rsidR="003647F1" w:rsidRPr="003647F1">
              <w:rPr>
                <w:rFonts w:ascii="宋体" w:hAnsi="宋体" w:hint="eastAsia"/>
                <w:color w:val="000000" w:themeColor="text1"/>
                <w:kern w:val="0"/>
                <w:sz w:val="24"/>
                <w:szCs w:val="24"/>
                <w:bdr w:val="none" w:sz="0" w:space="0" w:color="auto" w:frame="1"/>
              </w:rPr>
              <w:t>日在</w:t>
            </w:r>
            <w:r w:rsidR="00453805">
              <w:rPr>
                <w:rFonts w:ascii="宋体" w:hAnsi="宋体" w:hint="eastAsia"/>
                <w:color w:val="000000" w:themeColor="text1"/>
                <w:kern w:val="0"/>
                <w:sz w:val="24"/>
                <w:szCs w:val="24"/>
                <w:bdr w:val="none" w:sz="0" w:space="0" w:color="auto" w:frame="1"/>
              </w:rPr>
              <w:t>中国浙江省杭州</w:t>
            </w:r>
            <w:r w:rsidR="003647F1" w:rsidRPr="003647F1">
              <w:rPr>
                <w:rFonts w:ascii="宋体" w:hAnsi="宋体" w:hint="eastAsia"/>
                <w:color w:val="000000" w:themeColor="text1"/>
                <w:kern w:val="0"/>
                <w:sz w:val="24"/>
                <w:szCs w:val="24"/>
                <w:bdr w:val="none" w:sz="0" w:space="0" w:color="auto" w:frame="1"/>
              </w:rPr>
              <w:t>市注册成立，主营业务为</w:t>
            </w:r>
            <w:r w:rsidR="003647F1" w:rsidRPr="000448A8">
              <w:rPr>
                <w:rFonts w:ascii="宋体" w:hAnsi="宋体" w:hint="eastAsia"/>
                <w:color w:val="000000" w:themeColor="text1"/>
                <w:kern w:val="0"/>
                <w:sz w:val="24"/>
                <w:szCs w:val="24"/>
                <w:bdr w:val="none" w:sz="0" w:space="0" w:color="auto" w:frame="1"/>
              </w:rPr>
              <w:t>在中国境内从事企业管理咨询业务。</w:t>
            </w:r>
          </w:p>
          <w:p w14:paraId="1F5C5FC8" w14:textId="6842677E" w:rsidR="00D406A7" w:rsidRPr="002D0D4A" w:rsidRDefault="0072587C" w:rsidP="00B15896">
            <w:pPr>
              <w:adjustRightInd w:val="0"/>
              <w:snapToGrid w:val="0"/>
              <w:rPr>
                <w:rFonts w:ascii="宋体" w:hAnsi="宋体"/>
                <w:color w:val="000000" w:themeColor="text1"/>
                <w:kern w:val="0"/>
                <w:sz w:val="24"/>
                <w:szCs w:val="24"/>
                <w:bdr w:val="none" w:sz="0" w:space="0" w:color="auto" w:frame="1"/>
              </w:rPr>
            </w:pPr>
            <w:r>
              <w:rPr>
                <w:rFonts w:ascii="宋体" w:hAnsi="宋体" w:hint="eastAsia"/>
                <w:color w:val="000000" w:themeColor="text1"/>
                <w:kern w:val="0"/>
                <w:sz w:val="24"/>
                <w:szCs w:val="24"/>
                <w:bdr w:val="none" w:sz="0" w:space="0" w:color="auto" w:frame="1"/>
              </w:rPr>
              <w:t>杭州游鹭</w:t>
            </w:r>
            <w:r w:rsidR="003647F1" w:rsidRPr="003647F1">
              <w:rPr>
                <w:rFonts w:ascii="宋体" w:hAnsi="宋体" w:hint="eastAsia"/>
                <w:color w:val="000000" w:themeColor="text1"/>
                <w:kern w:val="0"/>
                <w:sz w:val="24"/>
                <w:szCs w:val="24"/>
                <w:bdr w:val="none" w:sz="0" w:space="0" w:color="auto" w:frame="1"/>
              </w:rPr>
              <w:t>的最终控制人为阿里巴巴集团控股有限公司，主营业务包括网络零售平台服务、零售及批发商业、物流服务、生活服务、云计算、数字媒体及娱乐、创新业务等。</w:t>
            </w:r>
          </w:p>
        </w:tc>
      </w:tr>
      <w:tr w:rsidR="00D406A7" w:rsidRPr="0085729B" w14:paraId="63695C14" w14:textId="77777777" w:rsidTr="00CF7783">
        <w:trPr>
          <w:trHeight w:val="404"/>
        </w:trPr>
        <w:tc>
          <w:tcPr>
            <w:tcW w:w="1555" w:type="dxa"/>
            <w:vMerge/>
            <w:shd w:val="clear" w:color="auto" w:fill="D9D9D9"/>
            <w:vAlign w:val="center"/>
          </w:tcPr>
          <w:p w14:paraId="0256966F" w14:textId="77777777" w:rsidR="00D406A7" w:rsidRPr="002D0D4A" w:rsidRDefault="00D406A7" w:rsidP="002D0D4A">
            <w:pPr>
              <w:adjustRightInd w:val="0"/>
              <w:snapToGrid w:val="0"/>
              <w:jc w:val="center"/>
              <w:rPr>
                <w:rFonts w:ascii="宋体" w:hAnsi="宋体"/>
                <w:color w:val="000000" w:themeColor="text1"/>
                <w:kern w:val="0"/>
                <w:sz w:val="24"/>
                <w:szCs w:val="24"/>
                <w:bdr w:val="none" w:sz="0" w:space="0" w:color="auto" w:frame="1"/>
              </w:rPr>
            </w:pPr>
          </w:p>
        </w:tc>
        <w:tc>
          <w:tcPr>
            <w:tcW w:w="1470" w:type="dxa"/>
            <w:vAlign w:val="center"/>
          </w:tcPr>
          <w:p w14:paraId="4ED5C0FE" w14:textId="08450A05" w:rsidR="00D406A7" w:rsidRPr="002D0D4A" w:rsidRDefault="00D406A7"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t>2</w:t>
            </w:r>
            <w:r w:rsidRPr="002D0D4A">
              <w:rPr>
                <w:rFonts w:ascii="宋体" w:hAnsi="宋体" w:hint="eastAsia"/>
                <w:color w:val="000000" w:themeColor="text1"/>
                <w:kern w:val="0"/>
                <w:sz w:val="24"/>
                <w:szCs w:val="24"/>
                <w:bdr w:val="none" w:sz="0" w:space="0" w:color="auto" w:frame="1"/>
              </w:rPr>
              <w:t>、</w:t>
            </w:r>
            <w:r w:rsidR="003647F1">
              <w:rPr>
                <w:rFonts w:ascii="宋体" w:hAnsi="宋体" w:hint="eastAsia"/>
                <w:color w:val="000000" w:themeColor="text1"/>
                <w:kern w:val="0"/>
                <w:sz w:val="24"/>
                <w:szCs w:val="24"/>
                <w:bdr w:val="none" w:sz="0" w:space="0" w:color="auto" w:frame="1"/>
              </w:rPr>
              <w:t>中诚资本</w:t>
            </w:r>
          </w:p>
        </w:tc>
        <w:tc>
          <w:tcPr>
            <w:tcW w:w="5271" w:type="dxa"/>
          </w:tcPr>
          <w:p w14:paraId="1E4EB9BD" w14:textId="691A8782" w:rsidR="003647F1" w:rsidRPr="003647F1" w:rsidRDefault="003647F1" w:rsidP="003647F1">
            <w:pPr>
              <w:adjustRightInd w:val="0"/>
              <w:snapToGrid w:val="0"/>
              <w:rPr>
                <w:rFonts w:ascii="宋体" w:hAnsi="宋体"/>
                <w:color w:val="000000" w:themeColor="text1"/>
                <w:sz w:val="24"/>
                <w:szCs w:val="24"/>
                <w:lang w:val="en-GB"/>
              </w:rPr>
            </w:pPr>
            <w:r w:rsidRPr="003647F1">
              <w:rPr>
                <w:rFonts w:ascii="宋体" w:hAnsi="宋体" w:hint="eastAsia"/>
                <w:color w:val="000000" w:themeColor="text1"/>
                <w:sz w:val="24"/>
                <w:szCs w:val="24"/>
                <w:lang w:val="en-GB"/>
              </w:rPr>
              <w:t>中诚资本于2012年11月29日在中国北京市注册成立，主营业务为在中国境内从事私募股权</w:t>
            </w:r>
            <w:r w:rsidR="000261B8">
              <w:rPr>
                <w:rFonts w:ascii="宋体" w:hAnsi="宋体" w:hint="eastAsia"/>
                <w:color w:val="000000" w:themeColor="text1"/>
                <w:sz w:val="24"/>
                <w:szCs w:val="24"/>
                <w:lang w:val="en-GB"/>
              </w:rPr>
              <w:t>投资</w:t>
            </w:r>
            <w:r w:rsidRPr="003647F1">
              <w:rPr>
                <w:rFonts w:ascii="宋体" w:hAnsi="宋体" w:hint="eastAsia"/>
                <w:color w:val="000000" w:themeColor="text1"/>
                <w:sz w:val="24"/>
                <w:szCs w:val="24"/>
                <w:lang w:val="en-GB"/>
              </w:rPr>
              <w:t>基金业务。</w:t>
            </w:r>
          </w:p>
          <w:p w14:paraId="00FF7648" w14:textId="19F94739" w:rsidR="00D406A7" w:rsidRPr="002D0D4A" w:rsidRDefault="000261B8" w:rsidP="002D0D4A">
            <w:pPr>
              <w:adjustRightInd w:val="0"/>
              <w:snapToGrid w:val="0"/>
              <w:rPr>
                <w:rFonts w:ascii="宋体" w:hAnsi="宋体"/>
                <w:color w:val="000000" w:themeColor="text1"/>
                <w:sz w:val="24"/>
                <w:szCs w:val="24"/>
                <w:lang w:val="en-GB"/>
              </w:rPr>
            </w:pPr>
            <w:r>
              <w:rPr>
                <w:rFonts w:ascii="宋体" w:hAnsi="宋体" w:hint="eastAsia"/>
                <w:color w:val="000000" w:themeColor="text1"/>
                <w:sz w:val="24"/>
                <w:szCs w:val="24"/>
                <w:lang w:val="en-GB"/>
              </w:rPr>
              <w:t>中诚资本的最终控制人为中诚信托有限责任公司，主营业务</w:t>
            </w:r>
            <w:r w:rsidR="003647F1" w:rsidRPr="003647F1">
              <w:rPr>
                <w:rFonts w:ascii="宋体" w:hAnsi="宋体" w:hint="eastAsia"/>
                <w:color w:val="000000" w:themeColor="text1"/>
                <w:sz w:val="24"/>
                <w:szCs w:val="24"/>
                <w:lang w:val="en-GB"/>
              </w:rPr>
              <w:t>包括资产管理、财富管理及私募投行业务等。</w:t>
            </w:r>
          </w:p>
        </w:tc>
      </w:tr>
      <w:tr w:rsidR="003C0F31" w:rsidRPr="0085729B" w14:paraId="4ADA4332" w14:textId="77777777" w:rsidTr="00CF7783">
        <w:trPr>
          <w:trHeight w:val="279"/>
        </w:trPr>
        <w:tc>
          <w:tcPr>
            <w:tcW w:w="1555" w:type="dxa"/>
            <w:vMerge w:val="restart"/>
            <w:shd w:val="clear" w:color="auto" w:fill="D9D9D9"/>
            <w:vAlign w:val="center"/>
          </w:tcPr>
          <w:p w14:paraId="5BFE66BF"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简易案件理由（可以单选，也可以多选）</w:t>
            </w:r>
          </w:p>
        </w:tc>
        <w:tc>
          <w:tcPr>
            <w:tcW w:w="6741" w:type="dxa"/>
            <w:gridSpan w:val="2"/>
          </w:tcPr>
          <w:p w14:paraId="49B89FE0" w14:textId="0B2E25A9" w:rsidR="00CB00DF" w:rsidRPr="002D0D4A" w:rsidRDefault="003647F1"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FE"/>
            </w:r>
            <w:r w:rsidR="00CB00DF" w:rsidRPr="002D0D4A">
              <w:rPr>
                <w:rFonts w:ascii="宋体" w:hAnsi="宋体"/>
                <w:color w:val="000000" w:themeColor="text1"/>
                <w:kern w:val="0"/>
                <w:sz w:val="24"/>
                <w:szCs w:val="24"/>
                <w:bdr w:val="none" w:sz="0" w:space="0" w:color="auto" w:frame="1"/>
              </w:rPr>
              <w:t>1.</w:t>
            </w:r>
            <w:r w:rsidR="00CB00DF" w:rsidRPr="002D0D4A">
              <w:rPr>
                <w:rFonts w:ascii="宋体" w:hAnsi="宋体" w:hint="eastAsia"/>
                <w:color w:val="000000" w:themeColor="text1"/>
                <w:kern w:val="0"/>
                <w:sz w:val="24"/>
                <w:szCs w:val="24"/>
                <w:bdr w:val="none" w:sz="0" w:space="0" w:color="auto" w:frame="1"/>
              </w:rPr>
              <w:t>在同一相关市场，所有参与集中的经营者所占市场份额之和小于</w:t>
            </w:r>
            <w:r w:rsidR="00CB00DF" w:rsidRPr="002D0D4A">
              <w:rPr>
                <w:rFonts w:ascii="宋体" w:hAnsi="宋体"/>
                <w:color w:val="000000" w:themeColor="text1"/>
                <w:kern w:val="0"/>
                <w:sz w:val="24"/>
                <w:szCs w:val="24"/>
                <w:bdr w:val="none" w:sz="0" w:space="0" w:color="auto" w:frame="1"/>
              </w:rPr>
              <w:t>15%</w:t>
            </w:r>
            <w:r w:rsidR="00CB00DF" w:rsidRPr="002D0D4A">
              <w:rPr>
                <w:rFonts w:ascii="宋体" w:hAnsi="宋体" w:hint="eastAsia"/>
                <w:color w:val="000000" w:themeColor="text1"/>
                <w:kern w:val="0"/>
                <w:sz w:val="24"/>
                <w:szCs w:val="24"/>
                <w:bdr w:val="none" w:sz="0" w:space="0" w:color="auto" w:frame="1"/>
              </w:rPr>
              <w:t>。</w:t>
            </w:r>
          </w:p>
        </w:tc>
      </w:tr>
      <w:tr w:rsidR="003C0F31" w:rsidRPr="0085729B" w14:paraId="0757D374" w14:textId="77777777" w:rsidTr="00CF7783">
        <w:trPr>
          <w:trHeight w:val="330"/>
        </w:trPr>
        <w:tc>
          <w:tcPr>
            <w:tcW w:w="1555" w:type="dxa"/>
            <w:vMerge/>
            <w:shd w:val="clear" w:color="auto" w:fill="D9D9D9"/>
            <w:vAlign w:val="center"/>
          </w:tcPr>
          <w:p w14:paraId="3250A171"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5A4E4271" w14:textId="107190CE" w:rsidR="00CB00DF" w:rsidRPr="002D0D4A" w:rsidRDefault="00CA598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2.</w:t>
            </w:r>
            <w:r w:rsidR="00CB00DF" w:rsidRPr="002D0D4A">
              <w:rPr>
                <w:rFonts w:ascii="宋体" w:hAnsi="宋体" w:hint="eastAsia"/>
                <w:color w:val="000000" w:themeColor="text1"/>
                <w:kern w:val="0"/>
                <w:sz w:val="24"/>
                <w:szCs w:val="24"/>
                <w:bdr w:val="none" w:sz="0" w:space="0" w:color="auto" w:frame="1"/>
              </w:rPr>
              <w:t>存在上下游关系的参与集中的经营者，在上下游市场所占的市场份额均小于</w:t>
            </w:r>
            <w:r w:rsidR="00CB00DF" w:rsidRPr="002D0D4A">
              <w:rPr>
                <w:rFonts w:ascii="宋体" w:hAnsi="宋体"/>
                <w:color w:val="000000" w:themeColor="text1"/>
                <w:kern w:val="0"/>
                <w:sz w:val="24"/>
                <w:szCs w:val="24"/>
                <w:bdr w:val="none" w:sz="0" w:space="0" w:color="auto" w:frame="1"/>
              </w:rPr>
              <w:t>25%</w:t>
            </w:r>
            <w:r w:rsidR="00CB00DF" w:rsidRPr="002D0D4A">
              <w:rPr>
                <w:rFonts w:ascii="宋体" w:hAnsi="宋体" w:hint="eastAsia"/>
                <w:color w:val="000000" w:themeColor="text1"/>
                <w:kern w:val="0"/>
                <w:sz w:val="24"/>
                <w:szCs w:val="24"/>
                <w:bdr w:val="none" w:sz="0" w:space="0" w:color="auto" w:frame="1"/>
              </w:rPr>
              <w:t>。</w:t>
            </w:r>
          </w:p>
        </w:tc>
      </w:tr>
      <w:tr w:rsidR="003C0F31" w:rsidRPr="0085729B" w14:paraId="35F366DE" w14:textId="77777777" w:rsidTr="00CF7783">
        <w:trPr>
          <w:trHeight w:val="285"/>
        </w:trPr>
        <w:tc>
          <w:tcPr>
            <w:tcW w:w="1555" w:type="dxa"/>
            <w:vMerge/>
            <w:shd w:val="clear" w:color="auto" w:fill="D9D9D9"/>
            <w:vAlign w:val="center"/>
          </w:tcPr>
          <w:p w14:paraId="4F57B9EB"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73844FB9" w14:textId="77777777" w:rsidR="00CB00DF" w:rsidRPr="002D0D4A" w:rsidRDefault="00E9040C"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3.</w:t>
            </w:r>
            <w:r w:rsidR="00CB00DF" w:rsidRPr="002D0D4A">
              <w:rPr>
                <w:rFonts w:ascii="宋体" w:hAnsi="宋体" w:hint="eastAsia"/>
                <w:color w:val="000000" w:themeColor="text1"/>
                <w:kern w:val="0"/>
                <w:sz w:val="24"/>
                <w:szCs w:val="24"/>
                <w:bdr w:val="none" w:sz="0" w:space="0" w:color="auto" w:frame="1"/>
              </w:rPr>
              <w:t>不在同一相关市场、也不存在上下游关系的参与集中的经营者，在与交易有关的每个市场所占的份额均小于</w:t>
            </w:r>
            <w:r w:rsidR="00CB00DF" w:rsidRPr="002D0D4A">
              <w:rPr>
                <w:rFonts w:ascii="宋体" w:hAnsi="宋体"/>
                <w:color w:val="000000" w:themeColor="text1"/>
                <w:kern w:val="0"/>
                <w:sz w:val="24"/>
                <w:szCs w:val="24"/>
                <w:bdr w:val="none" w:sz="0" w:space="0" w:color="auto" w:frame="1"/>
              </w:rPr>
              <w:t>25%</w:t>
            </w:r>
            <w:r w:rsidR="00CB00DF" w:rsidRPr="002D0D4A">
              <w:rPr>
                <w:rFonts w:ascii="宋体" w:hAnsi="宋体" w:hint="eastAsia"/>
                <w:color w:val="000000" w:themeColor="text1"/>
                <w:kern w:val="0"/>
                <w:sz w:val="24"/>
                <w:szCs w:val="24"/>
                <w:bdr w:val="none" w:sz="0" w:space="0" w:color="auto" w:frame="1"/>
              </w:rPr>
              <w:t>。</w:t>
            </w:r>
          </w:p>
        </w:tc>
      </w:tr>
      <w:tr w:rsidR="003C0F31" w:rsidRPr="0085729B" w14:paraId="51629C89" w14:textId="77777777" w:rsidTr="00CF7783">
        <w:trPr>
          <w:trHeight w:val="621"/>
        </w:trPr>
        <w:tc>
          <w:tcPr>
            <w:tcW w:w="1555" w:type="dxa"/>
            <w:vMerge/>
            <w:shd w:val="clear" w:color="auto" w:fill="D9D9D9"/>
            <w:vAlign w:val="center"/>
          </w:tcPr>
          <w:p w14:paraId="55BE1376"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77FD7446" w14:textId="0467709B" w:rsidR="00CB00DF" w:rsidRPr="002D0D4A" w:rsidRDefault="003647F1"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4.</w:t>
            </w:r>
            <w:r w:rsidR="00CB00DF" w:rsidRPr="002D0D4A">
              <w:rPr>
                <w:rFonts w:ascii="宋体" w:hAnsi="宋体" w:hint="eastAsia"/>
                <w:color w:val="000000" w:themeColor="text1"/>
                <w:kern w:val="0"/>
                <w:sz w:val="24"/>
                <w:szCs w:val="24"/>
                <w:bdr w:val="none" w:sz="0" w:space="0" w:color="auto" w:frame="1"/>
              </w:rPr>
              <w:t>参与集中的经营者在中国境外设立合营企业，合营企业不在中国境内从事经济活动。</w:t>
            </w:r>
          </w:p>
        </w:tc>
      </w:tr>
      <w:tr w:rsidR="003C0F31" w:rsidRPr="0085729B" w14:paraId="59E80FDE" w14:textId="77777777" w:rsidTr="00CF7783">
        <w:trPr>
          <w:trHeight w:val="264"/>
        </w:trPr>
        <w:tc>
          <w:tcPr>
            <w:tcW w:w="1555" w:type="dxa"/>
            <w:vMerge/>
            <w:shd w:val="clear" w:color="auto" w:fill="D9D9D9"/>
            <w:vAlign w:val="center"/>
          </w:tcPr>
          <w:p w14:paraId="4F1C1E64"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04C6CE61" w14:textId="77777777" w:rsidR="00CB00DF" w:rsidRPr="002D0D4A" w:rsidRDefault="00BB4FB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5.</w:t>
            </w:r>
            <w:r w:rsidR="00CB00DF" w:rsidRPr="002D0D4A">
              <w:rPr>
                <w:rFonts w:ascii="宋体" w:hAnsi="宋体" w:hint="eastAsia"/>
                <w:color w:val="000000" w:themeColor="text1"/>
                <w:kern w:val="0"/>
                <w:sz w:val="24"/>
                <w:szCs w:val="24"/>
                <w:bdr w:val="none" w:sz="0" w:space="0" w:color="auto" w:frame="1"/>
              </w:rPr>
              <w:t>参与集中的经营者收购境外企业股权或资产的，该境外企业不在中国境内从事经济活动。</w:t>
            </w:r>
          </w:p>
        </w:tc>
      </w:tr>
      <w:tr w:rsidR="003C0F31" w:rsidRPr="0085729B" w14:paraId="69D5A978" w14:textId="77777777" w:rsidTr="00CF7783">
        <w:trPr>
          <w:trHeight w:val="345"/>
        </w:trPr>
        <w:tc>
          <w:tcPr>
            <w:tcW w:w="1555" w:type="dxa"/>
            <w:vMerge/>
            <w:shd w:val="clear" w:color="auto" w:fill="D9D9D9"/>
            <w:vAlign w:val="center"/>
          </w:tcPr>
          <w:p w14:paraId="36B58D11"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p>
        </w:tc>
        <w:tc>
          <w:tcPr>
            <w:tcW w:w="6741" w:type="dxa"/>
            <w:gridSpan w:val="2"/>
          </w:tcPr>
          <w:p w14:paraId="6DF1A1B6" w14:textId="77777777" w:rsidR="00CB00DF" w:rsidRPr="002D0D4A" w:rsidRDefault="00BB4FB9" w:rsidP="002D0D4A">
            <w:pPr>
              <w:adjustRightInd w:val="0"/>
              <w:snapToGrid w:val="0"/>
              <w:rPr>
                <w:rFonts w:ascii="宋体" w:hAnsi="宋体"/>
                <w:color w:val="000000" w:themeColor="text1"/>
                <w:kern w:val="0"/>
                <w:sz w:val="24"/>
                <w:szCs w:val="24"/>
                <w:bdr w:val="none" w:sz="0" w:space="0" w:color="auto" w:frame="1"/>
              </w:rPr>
            </w:pPr>
            <w:r w:rsidRPr="002D0D4A">
              <w:rPr>
                <w:rFonts w:ascii="宋体" w:hAnsi="宋体"/>
                <w:color w:val="000000" w:themeColor="text1"/>
                <w:kern w:val="0"/>
                <w:sz w:val="24"/>
                <w:szCs w:val="24"/>
                <w:bdr w:val="none" w:sz="0" w:space="0" w:color="auto" w:frame="1"/>
              </w:rPr>
              <w:sym w:font="Wingdings" w:char="F0A8"/>
            </w:r>
            <w:r w:rsidR="00CB00DF" w:rsidRPr="002D0D4A">
              <w:rPr>
                <w:rFonts w:ascii="宋体" w:hAnsi="宋体"/>
                <w:color w:val="000000" w:themeColor="text1"/>
                <w:kern w:val="0"/>
                <w:sz w:val="24"/>
                <w:szCs w:val="24"/>
                <w:bdr w:val="none" w:sz="0" w:space="0" w:color="auto" w:frame="1"/>
              </w:rPr>
              <w:t>6.</w:t>
            </w:r>
            <w:r w:rsidR="00CB00DF" w:rsidRPr="002D0D4A">
              <w:rPr>
                <w:rFonts w:ascii="宋体" w:hAnsi="宋体" w:hint="eastAsia"/>
                <w:color w:val="000000" w:themeColor="text1"/>
                <w:kern w:val="0"/>
                <w:sz w:val="24"/>
                <w:szCs w:val="24"/>
                <w:bdr w:val="none" w:sz="0" w:space="0" w:color="auto" w:frame="1"/>
              </w:rPr>
              <w:t>由两个以上的经营者共同控制的合营企业，通过集中被其中一个或一个以上经营者控制。</w:t>
            </w:r>
          </w:p>
        </w:tc>
      </w:tr>
      <w:tr w:rsidR="003C0F31" w:rsidRPr="0085729B" w14:paraId="273CDA08" w14:textId="77777777" w:rsidTr="00794B1C">
        <w:trPr>
          <w:trHeight w:val="509"/>
        </w:trPr>
        <w:tc>
          <w:tcPr>
            <w:tcW w:w="1555" w:type="dxa"/>
            <w:shd w:val="clear" w:color="auto" w:fill="D9D9D9"/>
            <w:vAlign w:val="center"/>
          </w:tcPr>
          <w:p w14:paraId="44D33F3A" w14:textId="77777777" w:rsidR="00CB00DF" w:rsidRPr="002D0D4A" w:rsidRDefault="00CB00DF" w:rsidP="002D0D4A">
            <w:pPr>
              <w:adjustRightInd w:val="0"/>
              <w:snapToGrid w:val="0"/>
              <w:jc w:val="center"/>
              <w:rPr>
                <w:rFonts w:ascii="宋体" w:hAnsi="宋体"/>
                <w:color w:val="000000" w:themeColor="text1"/>
                <w:kern w:val="0"/>
                <w:sz w:val="24"/>
                <w:szCs w:val="24"/>
                <w:bdr w:val="none" w:sz="0" w:space="0" w:color="auto" w:frame="1"/>
              </w:rPr>
            </w:pPr>
            <w:r w:rsidRPr="002D0D4A">
              <w:rPr>
                <w:rFonts w:ascii="宋体" w:hAnsi="宋体" w:hint="eastAsia"/>
                <w:color w:val="000000" w:themeColor="text1"/>
                <w:kern w:val="0"/>
                <w:sz w:val="24"/>
                <w:szCs w:val="24"/>
                <w:bdr w:val="none" w:sz="0" w:space="0" w:color="auto" w:frame="1"/>
              </w:rPr>
              <w:t>备注</w:t>
            </w:r>
          </w:p>
        </w:tc>
        <w:tc>
          <w:tcPr>
            <w:tcW w:w="6741" w:type="dxa"/>
            <w:gridSpan w:val="2"/>
            <w:vAlign w:val="center"/>
          </w:tcPr>
          <w:p w14:paraId="4E855426" w14:textId="77777777" w:rsidR="00453805" w:rsidRPr="00453805" w:rsidRDefault="00453805" w:rsidP="00453805">
            <w:pPr>
              <w:adjustRightInd w:val="0"/>
              <w:snapToGrid w:val="0"/>
              <w:rPr>
                <w:rFonts w:ascii="宋体" w:hAnsi="宋体"/>
                <w:color w:val="000000" w:themeColor="text1"/>
                <w:kern w:val="0"/>
                <w:sz w:val="24"/>
                <w:szCs w:val="24"/>
                <w:bdr w:val="none" w:sz="0" w:space="0" w:color="auto" w:frame="1"/>
              </w:rPr>
            </w:pPr>
            <w:r w:rsidRPr="00453805">
              <w:rPr>
                <w:rFonts w:ascii="宋体" w:hAnsi="宋体" w:hint="eastAsia"/>
                <w:color w:val="000000" w:themeColor="text1"/>
                <w:kern w:val="0"/>
                <w:sz w:val="24"/>
                <w:szCs w:val="24"/>
                <w:bdr w:val="none" w:sz="0" w:space="0" w:color="auto" w:frame="1"/>
              </w:rPr>
              <w:t>横向重叠：</w:t>
            </w:r>
          </w:p>
          <w:p w14:paraId="6BFA2538" w14:textId="75979B7A" w:rsidR="00453805" w:rsidRPr="00453805" w:rsidRDefault="00453805" w:rsidP="00453805">
            <w:pPr>
              <w:adjustRightInd w:val="0"/>
              <w:snapToGrid w:val="0"/>
              <w:rPr>
                <w:rFonts w:ascii="宋体" w:hAnsi="宋体"/>
                <w:color w:val="000000" w:themeColor="text1"/>
                <w:kern w:val="0"/>
                <w:sz w:val="24"/>
                <w:szCs w:val="24"/>
                <w:bdr w:val="none" w:sz="0" w:space="0" w:color="auto" w:frame="1"/>
              </w:rPr>
            </w:pPr>
            <w:r w:rsidRPr="00453805">
              <w:rPr>
                <w:rFonts w:ascii="宋体" w:hAnsi="宋体" w:hint="eastAsia"/>
                <w:color w:val="000000" w:themeColor="text1"/>
                <w:kern w:val="0"/>
                <w:sz w:val="24"/>
                <w:szCs w:val="24"/>
                <w:bdr w:val="none" w:sz="0" w:space="0" w:color="auto" w:frame="1"/>
              </w:rPr>
              <w:t>2022年中国境内</w:t>
            </w:r>
            <w:r w:rsidR="000261B8">
              <w:rPr>
                <w:rFonts w:ascii="宋体" w:hAnsi="宋体" w:hint="eastAsia"/>
                <w:color w:val="000000" w:themeColor="text1"/>
                <w:kern w:val="0"/>
                <w:sz w:val="24"/>
                <w:szCs w:val="24"/>
                <w:bdr w:val="none" w:sz="0" w:space="0" w:color="auto" w:frame="1"/>
              </w:rPr>
              <w:t>物流地产</w:t>
            </w:r>
            <w:r w:rsidRPr="00453805">
              <w:rPr>
                <w:rFonts w:ascii="宋体" w:hAnsi="宋体" w:hint="eastAsia"/>
                <w:color w:val="000000" w:themeColor="text1"/>
                <w:kern w:val="0"/>
                <w:sz w:val="24"/>
                <w:szCs w:val="24"/>
                <w:bdr w:val="none" w:sz="0" w:space="0" w:color="auto" w:frame="1"/>
              </w:rPr>
              <w:t>私募股权投资基金市场：</w:t>
            </w:r>
          </w:p>
          <w:p w14:paraId="772D7DB7" w14:textId="3117685F" w:rsidR="00DD01D9" w:rsidRPr="002D0D4A" w:rsidRDefault="0072587C" w:rsidP="00E9482E">
            <w:pPr>
              <w:adjustRightInd w:val="0"/>
              <w:snapToGrid w:val="0"/>
              <w:rPr>
                <w:rFonts w:ascii="宋体" w:hAnsi="宋体"/>
                <w:color w:val="000000" w:themeColor="text1"/>
                <w:kern w:val="0"/>
                <w:sz w:val="24"/>
                <w:szCs w:val="24"/>
                <w:bdr w:val="none" w:sz="0" w:space="0" w:color="auto" w:frame="1"/>
              </w:rPr>
            </w:pPr>
            <w:r>
              <w:rPr>
                <w:rFonts w:ascii="宋体" w:hAnsi="宋体" w:hint="eastAsia"/>
                <w:color w:val="000000" w:themeColor="text1"/>
                <w:kern w:val="0"/>
                <w:sz w:val="24"/>
                <w:szCs w:val="24"/>
                <w:bdr w:val="none" w:sz="0" w:space="0" w:color="auto" w:frame="1"/>
              </w:rPr>
              <w:t>杭州游鹭</w:t>
            </w:r>
            <w:r w:rsidR="00453805" w:rsidRPr="004F58D5">
              <w:rPr>
                <w:rFonts w:ascii="宋体" w:hAnsi="宋体" w:hint="eastAsia"/>
                <w:color w:val="000000" w:themeColor="text1"/>
                <w:kern w:val="0"/>
                <w:sz w:val="24"/>
                <w:szCs w:val="24"/>
                <w:bdr w:val="none" w:sz="0" w:space="0" w:color="auto" w:frame="1"/>
              </w:rPr>
              <w:t>：[</w:t>
            </w:r>
            <w:r w:rsidR="00E9482E">
              <w:rPr>
                <w:rFonts w:ascii="宋体" w:hAnsi="宋体"/>
                <w:color w:val="000000" w:themeColor="text1"/>
                <w:kern w:val="0"/>
                <w:sz w:val="24"/>
                <w:szCs w:val="24"/>
                <w:bdr w:val="none" w:sz="0" w:space="0" w:color="auto" w:frame="1"/>
              </w:rPr>
              <w:t>5</w:t>
            </w:r>
            <w:r w:rsidR="00DD36F2" w:rsidRPr="004F58D5">
              <w:rPr>
                <w:rFonts w:ascii="宋体" w:hAnsi="宋体"/>
                <w:color w:val="000000" w:themeColor="text1"/>
                <w:kern w:val="0"/>
                <w:sz w:val="24"/>
                <w:szCs w:val="24"/>
                <w:bdr w:val="none" w:sz="0" w:space="0" w:color="auto" w:frame="1"/>
              </w:rPr>
              <w:t>-</w:t>
            </w:r>
            <w:r w:rsidR="00E9482E">
              <w:rPr>
                <w:rFonts w:ascii="宋体" w:hAnsi="宋体"/>
                <w:color w:val="000000" w:themeColor="text1"/>
                <w:kern w:val="0"/>
                <w:sz w:val="24"/>
                <w:szCs w:val="24"/>
                <w:bdr w:val="none" w:sz="0" w:space="0" w:color="auto" w:frame="1"/>
              </w:rPr>
              <w:t>10</w:t>
            </w:r>
            <w:r w:rsidR="00453805" w:rsidRPr="004F58D5">
              <w:rPr>
                <w:rFonts w:ascii="宋体" w:hAnsi="宋体" w:hint="eastAsia"/>
                <w:color w:val="000000" w:themeColor="text1"/>
                <w:kern w:val="0"/>
                <w:sz w:val="24"/>
                <w:szCs w:val="24"/>
                <w:bdr w:val="none" w:sz="0" w:space="0" w:color="auto" w:frame="1"/>
              </w:rPr>
              <w:t>]%；</w:t>
            </w:r>
            <w:r w:rsidR="00DD36F2" w:rsidRPr="004F58D5">
              <w:rPr>
                <w:rFonts w:ascii="宋体" w:hAnsi="宋体" w:hint="eastAsia"/>
                <w:color w:val="000000" w:themeColor="text1"/>
                <w:kern w:val="0"/>
                <w:sz w:val="24"/>
                <w:szCs w:val="24"/>
                <w:bdr w:val="none" w:sz="0" w:space="0" w:color="auto" w:frame="1"/>
              </w:rPr>
              <w:t>合营企业（预估）</w:t>
            </w:r>
            <w:r w:rsidR="00453805" w:rsidRPr="004F58D5">
              <w:rPr>
                <w:rFonts w:ascii="宋体" w:hAnsi="宋体" w:hint="eastAsia"/>
                <w:color w:val="000000" w:themeColor="text1"/>
                <w:kern w:val="0"/>
                <w:sz w:val="24"/>
                <w:szCs w:val="24"/>
                <w:bdr w:val="none" w:sz="0" w:space="0" w:color="auto" w:frame="1"/>
              </w:rPr>
              <w:t>：</w:t>
            </w:r>
            <w:r w:rsidR="00DD36F2" w:rsidRPr="004F58D5">
              <w:rPr>
                <w:rFonts w:ascii="宋体" w:hAnsi="宋体" w:hint="eastAsia"/>
                <w:color w:val="000000" w:themeColor="text1"/>
                <w:kern w:val="0"/>
                <w:sz w:val="24"/>
                <w:szCs w:val="24"/>
                <w:bdr w:val="none" w:sz="0" w:space="0" w:color="auto" w:frame="1"/>
              </w:rPr>
              <w:t>[</w:t>
            </w:r>
            <w:r w:rsidR="00E9482E">
              <w:rPr>
                <w:rFonts w:ascii="宋体" w:hAnsi="宋体"/>
                <w:color w:val="000000" w:themeColor="text1"/>
                <w:kern w:val="0"/>
                <w:sz w:val="24"/>
                <w:szCs w:val="24"/>
                <w:bdr w:val="none" w:sz="0" w:space="0" w:color="auto" w:frame="1"/>
              </w:rPr>
              <w:t>0</w:t>
            </w:r>
            <w:r w:rsidR="00DD36F2" w:rsidRPr="004F58D5">
              <w:rPr>
                <w:rFonts w:ascii="宋体" w:hAnsi="宋体"/>
                <w:color w:val="000000" w:themeColor="text1"/>
                <w:kern w:val="0"/>
                <w:sz w:val="24"/>
                <w:szCs w:val="24"/>
                <w:bdr w:val="none" w:sz="0" w:space="0" w:color="auto" w:frame="1"/>
              </w:rPr>
              <w:t>-</w:t>
            </w:r>
            <w:r w:rsidR="00E9482E">
              <w:rPr>
                <w:rFonts w:ascii="宋体" w:hAnsi="宋体"/>
                <w:color w:val="000000" w:themeColor="text1"/>
                <w:kern w:val="0"/>
                <w:sz w:val="24"/>
                <w:szCs w:val="24"/>
                <w:bdr w:val="none" w:sz="0" w:space="0" w:color="auto" w:frame="1"/>
              </w:rPr>
              <w:t>5</w:t>
            </w:r>
            <w:r w:rsidR="00DD36F2" w:rsidRPr="004F58D5">
              <w:rPr>
                <w:rFonts w:ascii="宋体" w:hAnsi="宋体" w:hint="eastAsia"/>
                <w:color w:val="000000" w:themeColor="text1"/>
                <w:kern w:val="0"/>
                <w:sz w:val="24"/>
                <w:szCs w:val="24"/>
                <w:bdr w:val="none" w:sz="0" w:space="0" w:color="auto" w:frame="1"/>
              </w:rPr>
              <w:t>]%</w:t>
            </w:r>
            <w:r w:rsidR="00453805" w:rsidRPr="004F58D5">
              <w:rPr>
                <w:rFonts w:ascii="宋体" w:hAnsi="宋体" w:hint="eastAsia"/>
                <w:color w:val="000000" w:themeColor="text1"/>
                <w:kern w:val="0"/>
                <w:sz w:val="24"/>
                <w:szCs w:val="24"/>
                <w:bdr w:val="none" w:sz="0" w:space="0" w:color="auto" w:frame="1"/>
              </w:rPr>
              <w:t>；</w:t>
            </w:r>
            <w:r w:rsidR="00DD36F2" w:rsidRPr="004F58D5">
              <w:rPr>
                <w:rFonts w:ascii="宋体" w:hAnsi="宋体" w:hint="eastAsia"/>
                <w:color w:val="000000" w:themeColor="text1"/>
                <w:kern w:val="0"/>
                <w:sz w:val="24"/>
                <w:szCs w:val="24"/>
                <w:bdr w:val="none" w:sz="0" w:space="0" w:color="auto" w:frame="1"/>
              </w:rPr>
              <w:t>交易方</w:t>
            </w:r>
            <w:r w:rsidR="00453805" w:rsidRPr="004F58D5">
              <w:rPr>
                <w:rFonts w:ascii="宋体" w:hAnsi="宋体" w:hint="eastAsia"/>
                <w:color w:val="000000" w:themeColor="text1"/>
                <w:kern w:val="0"/>
                <w:sz w:val="24"/>
                <w:szCs w:val="24"/>
                <w:bdr w:val="none" w:sz="0" w:space="0" w:color="auto" w:frame="1"/>
              </w:rPr>
              <w:t>合计：</w:t>
            </w:r>
            <w:r w:rsidR="00DD36F2" w:rsidRPr="004F58D5">
              <w:rPr>
                <w:rFonts w:ascii="宋体" w:hAnsi="宋体" w:hint="eastAsia"/>
                <w:color w:val="000000" w:themeColor="text1"/>
                <w:kern w:val="0"/>
                <w:sz w:val="24"/>
                <w:szCs w:val="24"/>
                <w:bdr w:val="none" w:sz="0" w:space="0" w:color="auto" w:frame="1"/>
              </w:rPr>
              <w:t>[</w:t>
            </w:r>
            <w:r w:rsidR="00E9482E">
              <w:rPr>
                <w:rFonts w:ascii="宋体" w:hAnsi="宋体"/>
                <w:color w:val="000000" w:themeColor="text1"/>
                <w:kern w:val="0"/>
                <w:sz w:val="24"/>
                <w:szCs w:val="24"/>
                <w:bdr w:val="none" w:sz="0" w:space="0" w:color="auto" w:frame="1"/>
              </w:rPr>
              <w:t>5</w:t>
            </w:r>
            <w:r w:rsidR="00DD36F2" w:rsidRPr="004F58D5">
              <w:rPr>
                <w:rFonts w:ascii="宋体" w:hAnsi="宋体"/>
                <w:color w:val="000000" w:themeColor="text1"/>
                <w:kern w:val="0"/>
                <w:sz w:val="24"/>
                <w:szCs w:val="24"/>
                <w:bdr w:val="none" w:sz="0" w:space="0" w:color="auto" w:frame="1"/>
              </w:rPr>
              <w:t>-</w:t>
            </w:r>
            <w:r w:rsidR="00E9482E">
              <w:rPr>
                <w:rFonts w:ascii="宋体" w:hAnsi="宋体"/>
                <w:color w:val="000000" w:themeColor="text1"/>
                <w:kern w:val="0"/>
                <w:sz w:val="24"/>
                <w:szCs w:val="24"/>
                <w:bdr w:val="none" w:sz="0" w:space="0" w:color="auto" w:frame="1"/>
              </w:rPr>
              <w:t>10</w:t>
            </w:r>
            <w:r w:rsidR="00DD36F2" w:rsidRPr="004F58D5">
              <w:rPr>
                <w:rFonts w:ascii="宋体" w:hAnsi="宋体" w:hint="eastAsia"/>
                <w:color w:val="000000" w:themeColor="text1"/>
                <w:kern w:val="0"/>
                <w:sz w:val="24"/>
                <w:szCs w:val="24"/>
                <w:bdr w:val="none" w:sz="0" w:space="0" w:color="auto" w:frame="1"/>
              </w:rPr>
              <w:t>]%</w:t>
            </w:r>
            <w:r w:rsidR="00453805">
              <w:rPr>
                <w:rFonts w:ascii="宋体" w:hAnsi="宋体" w:hint="eastAsia"/>
                <w:color w:val="000000" w:themeColor="text1"/>
                <w:kern w:val="0"/>
                <w:sz w:val="24"/>
                <w:szCs w:val="24"/>
                <w:bdr w:val="none" w:sz="0" w:space="0" w:color="auto" w:frame="1"/>
              </w:rPr>
              <w:t>。</w:t>
            </w:r>
          </w:p>
        </w:tc>
      </w:tr>
    </w:tbl>
    <w:p w14:paraId="648524D1" w14:textId="77777777" w:rsidR="000F5E24" w:rsidRPr="00B66062" w:rsidRDefault="00B12B59" w:rsidP="00554B02">
      <w:pPr>
        <w:rPr>
          <w:rFonts w:ascii="Times New Roman" w:hAnsi="Times New Roman"/>
          <w:sz w:val="24"/>
          <w:szCs w:val="24"/>
        </w:rPr>
      </w:pPr>
    </w:p>
    <w:sectPr w:rsidR="000F5E24" w:rsidRPr="00B66062" w:rsidSect="00ED21B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084D3F" w16cid:durableId="28AC6BA2"/>
  <w16cid:commentId w16cid:paraId="0E8DC5F6" w16cid:durableId="28AC6BCC"/>
  <w16cid:commentId w16cid:paraId="03451D39" w16cid:durableId="28AC6C62"/>
  <w16cid:commentId w16cid:paraId="7443CE77" w16cid:durableId="28AC6C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D4C5" w14:textId="77777777" w:rsidR="00B12B59" w:rsidRDefault="00B12B59" w:rsidP="002B7EA6">
      <w:r>
        <w:separator/>
      </w:r>
    </w:p>
  </w:endnote>
  <w:endnote w:type="continuationSeparator" w:id="0">
    <w:p w14:paraId="5C04FEFC" w14:textId="77777777" w:rsidR="00B12B59" w:rsidRDefault="00B12B59" w:rsidP="002B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E326" w14:textId="77777777" w:rsidR="00B12B59" w:rsidRDefault="00B12B59" w:rsidP="002B7EA6">
      <w:r>
        <w:separator/>
      </w:r>
    </w:p>
  </w:footnote>
  <w:footnote w:type="continuationSeparator" w:id="0">
    <w:p w14:paraId="581F11C5" w14:textId="77777777" w:rsidR="00B12B59" w:rsidRDefault="00B12B59" w:rsidP="002B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03810"/>
    <w:rsid w:val="00004922"/>
    <w:rsid w:val="00005CBC"/>
    <w:rsid w:val="00022441"/>
    <w:rsid w:val="000261B8"/>
    <w:rsid w:val="00032E30"/>
    <w:rsid w:val="00037065"/>
    <w:rsid w:val="0004448B"/>
    <w:rsid w:val="000448A8"/>
    <w:rsid w:val="00050BF4"/>
    <w:rsid w:val="000575BC"/>
    <w:rsid w:val="0008060F"/>
    <w:rsid w:val="00082B3E"/>
    <w:rsid w:val="00087411"/>
    <w:rsid w:val="000B7A5A"/>
    <w:rsid w:val="000C5F6D"/>
    <w:rsid w:val="000D35D8"/>
    <w:rsid w:val="000D47B2"/>
    <w:rsid w:val="000D650F"/>
    <w:rsid w:val="000D7EBA"/>
    <w:rsid w:val="000E2E28"/>
    <w:rsid w:val="000E34B9"/>
    <w:rsid w:val="0010048D"/>
    <w:rsid w:val="001031AB"/>
    <w:rsid w:val="00105DC3"/>
    <w:rsid w:val="001164CD"/>
    <w:rsid w:val="001211FA"/>
    <w:rsid w:val="00122E7F"/>
    <w:rsid w:val="001322C9"/>
    <w:rsid w:val="00137506"/>
    <w:rsid w:val="001415AB"/>
    <w:rsid w:val="001461BB"/>
    <w:rsid w:val="00155717"/>
    <w:rsid w:val="0016133D"/>
    <w:rsid w:val="0016161D"/>
    <w:rsid w:val="00173CDC"/>
    <w:rsid w:val="001837A3"/>
    <w:rsid w:val="00197E5E"/>
    <w:rsid w:val="001A59F3"/>
    <w:rsid w:val="001C3870"/>
    <w:rsid w:val="001C692C"/>
    <w:rsid w:val="001E4187"/>
    <w:rsid w:val="001F0398"/>
    <w:rsid w:val="001F10C9"/>
    <w:rsid w:val="00202B24"/>
    <w:rsid w:val="00206118"/>
    <w:rsid w:val="00214CF0"/>
    <w:rsid w:val="002243A4"/>
    <w:rsid w:val="00232C9B"/>
    <w:rsid w:val="00261DAE"/>
    <w:rsid w:val="00263F3D"/>
    <w:rsid w:val="00266ED6"/>
    <w:rsid w:val="002A4976"/>
    <w:rsid w:val="002B35E3"/>
    <w:rsid w:val="002B64FB"/>
    <w:rsid w:val="002B7EA6"/>
    <w:rsid w:val="002D0D4A"/>
    <w:rsid w:val="002D5D1C"/>
    <w:rsid w:val="002D6FF0"/>
    <w:rsid w:val="003025C0"/>
    <w:rsid w:val="00307F0F"/>
    <w:rsid w:val="0031643E"/>
    <w:rsid w:val="003276EC"/>
    <w:rsid w:val="00335136"/>
    <w:rsid w:val="00347CDD"/>
    <w:rsid w:val="00351604"/>
    <w:rsid w:val="003529B4"/>
    <w:rsid w:val="0035466B"/>
    <w:rsid w:val="003647F1"/>
    <w:rsid w:val="00375E19"/>
    <w:rsid w:val="0038427B"/>
    <w:rsid w:val="00392CC0"/>
    <w:rsid w:val="00393A62"/>
    <w:rsid w:val="003968A7"/>
    <w:rsid w:val="003A1A0D"/>
    <w:rsid w:val="003A528C"/>
    <w:rsid w:val="003A5E04"/>
    <w:rsid w:val="003B4F99"/>
    <w:rsid w:val="003B7D24"/>
    <w:rsid w:val="003C0AEB"/>
    <w:rsid w:val="003C0F31"/>
    <w:rsid w:val="003D2248"/>
    <w:rsid w:val="003D6C64"/>
    <w:rsid w:val="003E3EA1"/>
    <w:rsid w:val="003E6A68"/>
    <w:rsid w:val="003F4F65"/>
    <w:rsid w:val="004009B7"/>
    <w:rsid w:val="00402013"/>
    <w:rsid w:val="004118DF"/>
    <w:rsid w:val="00433A1F"/>
    <w:rsid w:val="004342BA"/>
    <w:rsid w:val="00453805"/>
    <w:rsid w:val="00455284"/>
    <w:rsid w:val="00474905"/>
    <w:rsid w:val="00482832"/>
    <w:rsid w:val="0048349A"/>
    <w:rsid w:val="004908E3"/>
    <w:rsid w:val="0049387F"/>
    <w:rsid w:val="00496055"/>
    <w:rsid w:val="004A09AC"/>
    <w:rsid w:val="004A786A"/>
    <w:rsid w:val="004C2B1A"/>
    <w:rsid w:val="004C3993"/>
    <w:rsid w:val="004C5266"/>
    <w:rsid w:val="004C76F0"/>
    <w:rsid w:val="004C7C50"/>
    <w:rsid w:val="004D3B36"/>
    <w:rsid w:val="004E7374"/>
    <w:rsid w:val="004F0673"/>
    <w:rsid w:val="004F58D5"/>
    <w:rsid w:val="004F72B4"/>
    <w:rsid w:val="004F7688"/>
    <w:rsid w:val="00501CED"/>
    <w:rsid w:val="005022BA"/>
    <w:rsid w:val="005034A9"/>
    <w:rsid w:val="005131F6"/>
    <w:rsid w:val="00515C54"/>
    <w:rsid w:val="0052098A"/>
    <w:rsid w:val="00521125"/>
    <w:rsid w:val="00533163"/>
    <w:rsid w:val="0054347E"/>
    <w:rsid w:val="00545B2E"/>
    <w:rsid w:val="00554B02"/>
    <w:rsid w:val="0055774F"/>
    <w:rsid w:val="005632C0"/>
    <w:rsid w:val="00566AB2"/>
    <w:rsid w:val="005703C2"/>
    <w:rsid w:val="00572E55"/>
    <w:rsid w:val="005835A4"/>
    <w:rsid w:val="005908B9"/>
    <w:rsid w:val="005B2151"/>
    <w:rsid w:val="005B5517"/>
    <w:rsid w:val="005B7A58"/>
    <w:rsid w:val="005C7454"/>
    <w:rsid w:val="005E684E"/>
    <w:rsid w:val="0060331B"/>
    <w:rsid w:val="0062688D"/>
    <w:rsid w:val="006403AD"/>
    <w:rsid w:val="006405C3"/>
    <w:rsid w:val="006467D8"/>
    <w:rsid w:val="00646864"/>
    <w:rsid w:val="00651D33"/>
    <w:rsid w:val="00652E2B"/>
    <w:rsid w:val="0065553E"/>
    <w:rsid w:val="00666BE3"/>
    <w:rsid w:val="00667EBB"/>
    <w:rsid w:val="00671399"/>
    <w:rsid w:val="006808AE"/>
    <w:rsid w:val="006920EA"/>
    <w:rsid w:val="006A531B"/>
    <w:rsid w:val="006B0E4D"/>
    <w:rsid w:val="006B3937"/>
    <w:rsid w:val="006B5137"/>
    <w:rsid w:val="006C72BA"/>
    <w:rsid w:val="006D6ED9"/>
    <w:rsid w:val="006F486B"/>
    <w:rsid w:val="006F4C28"/>
    <w:rsid w:val="006F7693"/>
    <w:rsid w:val="00706BF6"/>
    <w:rsid w:val="00710140"/>
    <w:rsid w:val="0071220D"/>
    <w:rsid w:val="00717A11"/>
    <w:rsid w:val="007207FB"/>
    <w:rsid w:val="00721FD9"/>
    <w:rsid w:val="0072587C"/>
    <w:rsid w:val="0074165C"/>
    <w:rsid w:val="007433D6"/>
    <w:rsid w:val="007436DB"/>
    <w:rsid w:val="00752DEE"/>
    <w:rsid w:val="00767409"/>
    <w:rsid w:val="00770D7C"/>
    <w:rsid w:val="007757FE"/>
    <w:rsid w:val="00782193"/>
    <w:rsid w:val="00791095"/>
    <w:rsid w:val="0079275C"/>
    <w:rsid w:val="00792C21"/>
    <w:rsid w:val="00794B1C"/>
    <w:rsid w:val="007A0139"/>
    <w:rsid w:val="007A2BC9"/>
    <w:rsid w:val="007A36B6"/>
    <w:rsid w:val="007B6071"/>
    <w:rsid w:val="007C0D5B"/>
    <w:rsid w:val="007D12C0"/>
    <w:rsid w:val="007E11AE"/>
    <w:rsid w:val="007E1AAE"/>
    <w:rsid w:val="007F2275"/>
    <w:rsid w:val="008000DD"/>
    <w:rsid w:val="00800D93"/>
    <w:rsid w:val="00806960"/>
    <w:rsid w:val="00815EDA"/>
    <w:rsid w:val="00834A6B"/>
    <w:rsid w:val="008417B8"/>
    <w:rsid w:val="0085729B"/>
    <w:rsid w:val="008630DE"/>
    <w:rsid w:val="0089067D"/>
    <w:rsid w:val="00895747"/>
    <w:rsid w:val="008A1091"/>
    <w:rsid w:val="008A3A80"/>
    <w:rsid w:val="008B1E23"/>
    <w:rsid w:val="008B2489"/>
    <w:rsid w:val="008B4C91"/>
    <w:rsid w:val="008B6460"/>
    <w:rsid w:val="008F6490"/>
    <w:rsid w:val="0090012E"/>
    <w:rsid w:val="00907DA5"/>
    <w:rsid w:val="00915F0F"/>
    <w:rsid w:val="00923C8E"/>
    <w:rsid w:val="009263F8"/>
    <w:rsid w:val="009377AF"/>
    <w:rsid w:val="0094061A"/>
    <w:rsid w:val="009532DF"/>
    <w:rsid w:val="00966726"/>
    <w:rsid w:val="00971615"/>
    <w:rsid w:val="00983E14"/>
    <w:rsid w:val="0099068F"/>
    <w:rsid w:val="00993270"/>
    <w:rsid w:val="00997019"/>
    <w:rsid w:val="009A5029"/>
    <w:rsid w:val="009A67F9"/>
    <w:rsid w:val="009A6E10"/>
    <w:rsid w:val="009B2358"/>
    <w:rsid w:val="009C2A2D"/>
    <w:rsid w:val="009D38D5"/>
    <w:rsid w:val="009D75DB"/>
    <w:rsid w:val="009E0F5C"/>
    <w:rsid w:val="009E7A67"/>
    <w:rsid w:val="009F1938"/>
    <w:rsid w:val="009F5182"/>
    <w:rsid w:val="00A01D9E"/>
    <w:rsid w:val="00A05E57"/>
    <w:rsid w:val="00A1488D"/>
    <w:rsid w:val="00A33F08"/>
    <w:rsid w:val="00A3457D"/>
    <w:rsid w:val="00A367EC"/>
    <w:rsid w:val="00A53F26"/>
    <w:rsid w:val="00A62B49"/>
    <w:rsid w:val="00A63CD8"/>
    <w:rsid w:val="00A667C2"/>
    <w:rsid w:val="00A67377"/>
    <w:rsid w:val="00A71C00"/>
    <w:rsid w:val="00A7507C"/>
    <w:rsid w:val="00A83154"/>
    <w:rsid w:val="00A9656E"/>
    <w:rsid w:val="00A97756"/>
    <w:rsid w:val="00A97D1B"/>
    <w:rsid w:val="00AA0CC5"/>
    <w:rsid w:val="00AA5428"/>
    <w:rsid w:val="00AB04BF"/>
    <w:rsid w:val="00AB0B4B"/>
    <w:rsid w:val="00AB6D6F"/>
    <w:rsid w:val="00B024EB"/>
    <w:rsid w:val="00B0575A"/>
    <w:rsid w:val="00B10DBD"/>
    <w:rsid w:val="00B12B59"/>
    <w:rsid w:val="00B13417"/>
    <w:rsid w:val="00B15896"/>
    <w:rsid w:val="00B16AFE"/>
    <w:rsid w:val="00B20888"/>
    <w:rsid w:val="00B24F5C"/>
    <w:rsid w:val="00B40DF2"/>
    <w:rsid w:val="00B44662"/>
    <w:rsid w:val="00B6499A"/>
    <w:rsid w:val="00B65DD5"/>
    <w:rsid w:val="00B66062"/>
    <w:rsid w:val="00B95957"/>
    <w:rsid w:val="00BA0162"/>
    <w:rsid w:val="00BB04A1"/>
    <w:rsid w:val="00BB3BF8"/>
    <w:rsid w:val="00BB4A0C"/>
    <w:rsid w:val="00BB4FB9"/>
    <w:rsid w:val="00BB5204"/>
    <w:rsid w:val="00BC6392"/>
    <w:rsid w:val="00BC6FD0"/>
    <w:rsid w:val="00BD0D11"/>
    <w:rsid w:val="00BD10B6"/>
    <w:rsid w:val="00BD2E2C"/>
    <w:rsid w:val="00BE00A8"/>
    <w:rsid w:val="00BF1973"/>
    <w:rsid w:val="00BF5ED6"/>
    <w:rsid w:val="00C07076"/>
    <w:rsid w:val="00C400EC"/>
    <w:rsid w:val="00C44625"/>
    <w:rsid w:val="00C47983"/>
    <w:rsid w:val="00C5426E"/>
    <w:rsid w:val="00C75113"/>
    <w:rsid w:val="00C81116"/>
    <w:rsid w:val="00C830AC"/>
    <w:rsid w:val="00C91BB8"/>
    <w:rsid w:val="00C92C3E"/>
    <w:rsid w:val="00C977B5"/>
    <w:rsid w:val="00CA4A4F"/>
    <w:rsid w:val="00CA5989"/>
    <w:rsid w:val="00CB00DF"/>
    <w:rsid w:val="00CB07DC"/>
    <w:rsid w:val="00CB2E54"/>
    <w:rsid w:val="00CB2FB1"/>
    <w:rsid w:val="00CC229F"/>
    <w:rsid w:val="00CD0628"/>
    <w:rsid w:val="00CD6E31"/>
    <w:rsid w:val="00CF4AB0"/>
    <w:rsid w:val="00CF5259"/>
    <w:rsid w:val="00CF7783"/>
    <w:rsid w:val="00D02834"/>
    <w:rsid w:val="00D137AD"/>
    <w:rsid w:val="00D14522"/>
    <w:rsid w:val="00D1722B"/>
    <w:rsid w:val="00D2165E"/>
    <w:rsid w:val="00D32EE2"/>
    <w:rsid w:val="00D406A7"/>
    <w:rsid w:val="00D43EC3"/>
    <w:rsid w:val="00D45CD6"/>
    <w:rsid w:val="00D50D7C"/>
    <w:rsid w:val="00D73C72"/>
    <w:rsid w:val="00D85234"/>
    <w:rsid w:val="00D86C6D"/>
    <w:rsid w:val="00D87BB1"/>
    <w:rsid w:val="00DB155D"/>
    <w:rsid w:val="00DC073B"/>
    <w:rsid w:val="00DC558F"/>
    <w:rsid w:val="00DD01D9"/>
    <w:rsid w:val="00DD36F2"/>
    <w:rsid w:val="00DD427C"/>
    <w:rsid w:val="00DD4EF7"/>
    <w:rsid w:val="00DD5F85"/>
    <w:rsid w:val="00DE010A"/>
    <w:rsid w:val="00DE14A9"/>
    <w:rsid w:val="00DE6C00"/>
    <w:rsid w:val="00E0592B"/>
    <w:rsid w:val="00E05B2E"/>
    <w:rsid w:val="00E31738"/>
    <w:rsid w:val="00E372F7"/>
    <w:rsid w:val="00E76BD7"/>
    <w:rsid w:val="00E805E8"/>
    <w:rsid w:val="00E8192E"/>
    <w:rsid w:val="00E8338F"/>
    <w:rsid w:val="00E86786"/>
    <w:rsid w:val="00E87786"/>
    <w:rsid w:val="00E87DA4"/>
    <w:rsid w:val="00E9040C"/>
    <w:rsid w:val="00E906D5"/>
    <w:rsid w:val="00E918F9"/>
    <w:rsid w:val="00E93D24"/>
    <w:rsid w:val="00E9482E"/>
    <w:rsid w:val="00EB1B5B"/>
    <w:rsid w:val="00EC3794"/>
    <w:rsid w:val="00ED2F80"/>
    <w:rsid w:val="00ED5CFF"/>
    <w:rsid w:val="00EF1B59"/>
    <w:rsid w:val="00EF69B7"/>
    <w:rsid w:val="00F000D5"/>
    <w:rsid w:val="00F15689"/>
    <w:rsid w:val="00F1624E"/>
    <w:rsid w:val="00F16713"/>
    <w:rsid w:val="00F23A32"/>
    <w:rsid w:val="00F240CC"/>
    <w:rsid w:val="00F2497C"/>
    <w:rsid w:val="00F25525"/>
    <w:rsid w:val="00F266D4"/>
    <w:rsid w:val="00F32F8A"/>
    <w:rsid w:val="00F336FC"/>
    <w:rsid w:val="00F34E3E"/>
    <w:rsid w:val="00F34F35"/>
    <w:rsid w:val="00F50ED3"/>
    <w:rsid w:val="00F51088"/>
    <w:rsid w:val="00F61028"/>
    <w:rsid w:val="00F62C84"/>
    <w:rsid w:val="00F642B7"/>
    <w:rsid w:val="00F66759"/>
    <w:rsid w:val="00F66970"/>
    <w:rsid w:val="00F678C7"/>
    <w:rsid w:val="00F810AA"/>
    <w:rsid w:val="00F8672A"/>
    <w:rsid w:val="00F96CA5"/>
    <w:rsid w:val="00F97A97"/>
    <w:rsid w:val="00FA660D"/>
    <w:rsid w:val="00FB43EC"/>
    <w:rsid w:val="00FB635D"/>
    <w:rsid w:val="00FB6B40"/>
    <w:rsid w:val="00FE3E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EA6"/>
    <w:pPr>
      <w:tabs>
        <w:tab w:val="center" w:pos="4153"/>
        <w:tab w:val="right" w:pos="8306"/>
      </w:tabs>
    </w:pPr>
  </w:style>
  <w:style w:type="character" w:customStyle="1" w:styleId="a4">
    <w:name w:val="页眉 字符"/>
    <w:basedOn w:val="a0"/>
    <w:link w:val="a3"/>
    <w:uiPriority w:val="99"/>
    <w:rsid w:val="002B7EA6"/>
    <w:rPr>
      <w:rFonts w:ascii="Calibri" w:eastAsia="宋体" w:hAnsi="Calibri" w:cs="Times New Roman"/>
    </w:rPr>
  </w:style>
  <w:style w:type="paragraph" w:styleId="a5">
    <w:name w:val="footer"/>
    <w:basedOn w:val="a"/>
    <w:link w:val="a6"/>
    <w:uiPriority w:val="99"/>
    <w:unhideWhenUsed/>
    <w:rsid w:val="002B7EA6"/>
    <w:pPr>
      <w:tabs>
        <w:tab w:val="center" w:pos="4153"/>
        <w:tab w:val="right" w:pos="8306"/>
      </w:tabs>
    </w:pPr>
  </w:style>
  <w:style w:type="character" w:customStyle="1" w:styleId="a6">
    <w:name w:val="页脚 字符"/>
    <w:basedOn w:val="a0"/>
    <w:link w:val="a5"/>
    <w:uiPriority w:val="99"/>
    <w:rsid w:val="002B7EA6"/>
    <w:rPr>
      <w:rFonts w:ascii="Calibri" w:eastAsia="宋体" w:hAnsi="Calibri" w:cs="Times New Roman"/>
    </w:rPr>
  </w:style>
  <w:style w:type="paragraph" w:styleId="a7">
    <w:name w:val="Balloon Text"/>
    <w:basedOn w:val="a"/>
    <w:link w:val="a8"/>
    <w:uiPriority w:val="99"/>
    <w:semiHidden/>
    <w:unhideWhenUsed/>
    <w:rsid w:val="00F62C84"/>
    <w:rPr>
      <w:sz w:val="18"/>
      <w:szCs w:val="18"/>
    </w:rPr>
  </w:style>
  <w:style w:type="character" w:customStyle="1" w:styleId="a8">
    <w:name w:val="批注框文本 字符"/>
    <w:basedOn w:val="a0"/>
    <w:link w:val="a7"/>
    <w:uiPriority w:val="99"/>
    <w:semiHidden/>
    <w:rsid w:val="00F62C84"/>
    <w:rPr>
      <w:rFonts w:ascii="Calibri" w:eastAsia="宋体" w:hAnsi="Calibri" w:cs="Times New Roman"/>
      <w:sz w:val="18"/>
      <w:szCs w:val="18"/>
    </w:rPr>
  </w:style>
  <w:style w:type="character" w:styleId="a9">
    <w:name w:val="Hyperlink"/>
    <w:aliases w:val="VBB Hyperlink"/>
    <w:basedOn w:val="a0"/>
    <w:unhideWhenUsed/>
    <w:qFormat/>
    <w:rsid w:val="00DB155D"/>
    <w:rPr>
      <w:color w:val="0563C1" w:themeColor="hyperlink"/>
      <w:u w:val="single"/>
    </w:rPr>
  </w:style>
  <w:style w:type="paragraph" w:styleId="aa">
    <w:name w:val="footnote text"/>
    <w:aliases w:val="fn,Footnote Text Char Car,ALTS FOOTNOTE,Mod-Footnote Text,ALTS FOOTNOTE Char,Footnote Text Char1 Char,Footnote Text Char Char1 Char,ft Char Char Char,Footnote Text Char3 Char Char Char,Texto nota pie Car,Car,Char Char,ft,F,Footnote Tex,FT"/>
    <w:basedOn w:val="a"/>
    <w:link w:val="ab"/>
    <w:unhideWhenUsed/>
    <w:qFormat/>
    <w:rsid w:val="003A528C"/>
    <w:pPr>
      <w:snapToGrid w:val="0"/>
      <w:jc w:val="left"/>
    </w:pPr>
    <w:rPr>
      <w:rFonts w:ascii="Times New Roman" w:hAnsi="Times New Roman"/>
      <w:sz w:val="18"/>
      <w:szCs w:val="18"/>
    </w:rPr>
  </w:style>
  <w:style w:type="character" w:customStyle="1" w:styleId="ab">
    <w:name w:val="脚注文本 字符"/>
    <w:aliases w:val="fn 字符,Footnote Text Char Car 字符,ALTS FOOTNOTE 字符,Mod-Footnote Text 字符,ALTS FOOTNOTE Char 字符,Footnote Text Char1 Char 字符,Footnote Text Char Char1 Char 字符,ft Char Char Char 字符,Footnote Text Char3 Char Char Char 字符,Texto nota pie Car 字符,Car 字符,F 字符"/>
    <w:basedOn w:val="a0"/>
    <w:link w:val="aa"/>
    <w:rsid w:val="003A528C"/>
    <w:rPr>
      <w:rFonts w:ascii="Times New Roman" w:eastAsia="宋体" w:hAnsi="Times New Roman" w:cs="Times New Roman"/>
      <w:sz w:val="18"/>
      <w:szCs w:val="18"/>
    </w:rPr>
  </w:style>
  <w:style w:type="character" w:styleId="ac">
    <w:name w:val="footnote reference"/>
    <w:aliases w:val="-E Fußnotenzeichen,fr,(NECG) Footnote Reference,Footnote Reference Number,Footnote Reference_LVL6,Footnote Reference_LVL61,Footnote Reference_LVL62,Footnote Reference_LVL63,Footnote Reference_LVL64,BVI fnr,Footnote Reference Superscri"/>
    <w:unhideWhenUsed/>
    <w:qFormat/>
    <w:rsid w:val="003A528C"/>
    <w:rPr>
      <w:vertAlign w:val="superscript"/>
    </w:rPr>
  </w:style>
  <w:style w:type="character" w:styleId="ad">
    <w:name w:val="annotation reference"/>
    <w:basedOn w:val="a0"/>
    <w:uiPriority w:val="99"/>
    <w:unhideWhenUsed/>
    <w:rsid w:val="003A528C"/>
    <w:rPr>
      <w:sz w:val="21"/>
      <w:szCs w:val="21"/>
    </w:rPr>
  </w:style>
  <w:style w:type="paragraph" w:styleId="ae">
    <w:name w:val="annotation text"/>
    <w:basedOn w:val="a"/>
    <w:link w:val="af"/>
    <w:uiPriority w:val="99"/>
    <w:semiHidden/>
    <w:unhideWhenUsed/>
    <w:rsid w:val="00005CBC"/>
    <w:pPr>
      <w:jc w:val="left"/>
    </w:pPr>
  </w:style>
  <w:style w:type="character" w:customStyle="1" w:styleId="af">
    <w:name w:val="批注文字 字符"/>
    <w:basedOn w:val="a0"/>
    <w:link w:val="ae"/>
    <w:uiPriority w:val="99"/>
    <w:semiHidden/>
    <w:rsid w:val="00005CBC"/>
    <w:rPr>
      <w:rFonts w:ascii="Calibri" w:eastAsia="宋体" w:hAnsi="Calibri" w:cs="Times New Roman"/>
    </w:rPr>
  </w:style>
  <w:style w:type="paragraph" w:styleId="af0">
    <w:name w:val="annotation subject"/>
    <w:basedOn w:val="ae"/>
    <w:next w:val="ae"/>
    <w:link w:val="af1"/>
    <w:uiPriority w:val="99"/>
    <w:semiHidden/>
    <w:unhideWhenUsed/>
    <w:rsid w:val="00005CBC"/>
    <w:rPr>
      <w:b/>
      <w:bCs/>
    </w:rPr>
  </w:style>
  <w:style w:type="character" w:customStyle="1" w:styleId="af1">
    <w:name w:val="批注主题 字符"/>
    <w:basedOn w:val="af"/>
    <w:link w:val="af0"/>
    <w:uiPriority w:val="99"/>
    <w:semiHidden/>
    <w:rsid w:val="00005CBC"/>
    <w:rPr>
      <w:rFonts w:ascii="Calibri" w:eastAsia="宋体" w:hAnsi="Calibri" w:cs="Times New Roman"/>
      <w:b/>
      <w:bCs/>
    </w:rPr>
  </w:style>
  <w:style w:type="paragraph" w:styleId="af2">
    <w:name w:val="Body Text"/>
    <w:basedOn w:val="a"/>
    <w:link w:val="af3"/>
    <w:rsid w:val="00CF7783"/>
    <w:pPr>
      <w:widowControl/>
      <w:spacing w:after="240"/>
    </w:pPr>
    <w:rPr>
      <w:rFonts w:ascii="Times New Roman" w:hAnsi="Times New Roman"/>
      <w:kern w:val="0"/>
      <w:sz w:val="24"/>
      <w:szCs w:val="24"/>
      <w:lang w:val="en-GB" w:eastAsia="en-GB" w:bidi="ar-AE"/>
    </w:rPr>
  </w:style>
  <w:style w:type="character" w:customStyle="1" w:styleId="af3">
    <w:name w:val="正文文本 字符"/>
    <w:basedOn w:val="a0"/>
    <w:link w:val="af2"/>
    <w:rsid w:val="00CF7783"/>
    <w:rPr>
      <w:rFonts w:ascii="Times New Roman" w:eastAsia="宋体" w:hAnsi="Times New Roman" w:cs="Times New Roman"/>
      <w:kern w:val="0"/>
      <w:sz w:val="24"/>
      <w:szCs w:val="24"/>
      <w:lang w:val="en-GB" w:eastAsia="en-GB" w:bidi="ar-AE"/>
    </w:rPr>
  </w:style>
  <w:style w:type="table" w:styleId="af4">
    <w:name w:val="Table Grid"/>
    <w:basedOn w:val="a1"/>
    <w:uiPriority w:val="39"/>
    <w:rsid w:val="00CF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3968A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C9E4-1A7B-4744-8DA1-E90A5F27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2023-09-13T12:46:00Z</dcterms:created>
  <dcterms:modified xsi:type="dcterms:W3CDTF">2023-09-25T01:59:00Z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etDate">
    <vt:lpwstr>2022-04-27T03:12:02Z</vt:lpwstr>
  </property>
  <property fmtid="{D5CDD505-2E9C-101B-9397-08002B2CF9AE}" pid="4" name="MSIP_Label_42e67a54-274b-43d7-8098-b3ba5f50e576_Method">
    <vt:lpwstr>Standard</vt:lpwstr>
  </property>
  <property fmtid="{D5CDD505-2E9C-101B-9397-08002B2CF9AE}" pid="5" name="MSIP_Label_42e67a54-274b-43d7-8098-b3ba5f50e576_Name">
    <vt:lpwstr>42e67a54-274b-43d7-8098-b3ba5f50e576</vt:lpwstr>
  </property>
  <property fmtid="{D5CDD505-2E9C-101B-9397-08002B2CF9AE}" pid="6" name="MSIP_Label_42e67a54-274b-43d7-8098-b3ba5f50e576_SiteId">
    <vt:lpwstr>7f0b44d2-04f8-4672-bf5d-4676796468a3</vt:lpwstr>
  </property>
  <property fmtid="{D5CDD505-2E9C-101B-9397-08002B2CF9AE}" pid="7" name="MSIP_Label_42e67a54-274b-43d7-8098-b3ba5f50e576_ActionId">
    <vt:lpwstr>8d082ebb-4aaa-4f66-a2d1-23906e2aef0d</vt:lpwstr>
  </property>
  <property fmtid="{D5CDD505-2E9C-101B-9397-08002B2CF9AE}" pid="8" name="MSIP_Label_42e67a54-274b-43d7-8098-b3ba5f50e576_ContentBits">
    <vt:lpwstr>0</vt:lpwstr>
  </property>
  <property fmtid="{D5CDD505-2E9C-101B-9397-08002B2CF9AE}" pid="9" name="cpCombinedRef">
    <vt:lpwstr>0093891-0000035 DBO1: 2003427683.1</vt:lpwstr>
  </property>
  <property fmtid="{D5CDD505-2E9C-101B-9397-08002B2CF9AE}" pid="10" name="Client">
    <vt:lpwstr>0093891</vt:lpwstr>
  </property>
  <property fmtid="{D5CDD505-2E9C-101B-9397-08002B2CF9AE}" pid="11" name="Matter">
    <vt:lpwstr>0000035</vt:lpwstr>
  </property>
  <property fmtid="{D5CDD505-2E9C-101B-9397-08002B2CF9AE}" pid="12" name="cpClientMatter">
    <vt:lpwstr>0093891-0000035</vt:lpwstr>
  </property>
  <property fmtid="{D5CDD505-2E9C-101B-9397-08002B2CF9AE}" pid="13" name="cpDocRef">
    <vt:lpwstr>DBO1: 2003427683.1</vt:lpwstr>
  </property>
</Properties>
</file>