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C7EF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02A33">
              <w:rPr>
                <w:rFonts w:ascii="黑体" w:eastAsia="黑体" w:hAnsi="黑体"/>
                <w:sz w:val="21"/>
                <w:szCs w:val="21"/>
              </w:rPr>
              <w:t>J74</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C7EF6"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02A33">
              <w:rPr>
                <w:rFonts w:ascii="黑体" w:eastAsia="黑体" w:hAnsi="黑体"/>
                <w:sz w:val="21"/>
                <w:szCs w:val="21"/>
              </w:rPr>
              <w:t>23.020</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6C7EF6">
              <w:fldChar w:fldCharType="begin">
                <w:ffData>
                  <w:name w:val="c1"/>
                  <w:enabled/>
                  <w:calcOnExit w:val="0"/>
                  <w:textInput>
                    <w:maxLength w:val="8"/>
                  </w:textInput>
                </w:ffData>
              </w:fldChar>
            </w:r>
            <w:bookmarkStart w:id="3" w:name="c1"/>
            <w:r>
              <w:instrText xml:space="preserve"> FORMTEXT </w:instrText>
            </w:r>
            <w:r w:rsidR="006C7EF6">
              <w:fldChar w:fldCharType="separate"/>
            </w:r>
            <w:r w:rsidR="00C02A33">
              <w:t>14</w:t>
            </w:r>
            <w:r w:rsidR="006C7EF6">
              <w:fldChar w:fldCharType="end"/>
            </w:r>
            <w:bookmarkEnd w:id="3"/>
          </w:p>
        </w:tc>
      </w:tr>
    </w:tbl>
    <w:p w:rsidR="0000040A" w:rsidRPr="007B7453" w:rsidRDefault="006C7EF6"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02A33">
        <w:rPr>
          <w:rFonts w:ascii="黑体" w:eastAsia="黑体"/>
          <w:b w:val="0"/>
          <w:w w:val="100"/>
          <w:sz w:val="48"/>
        </w:rPr>
        <w:t>山</w:t>
      </w:r>
      <w:r w:rsidR="00C02A33">
        <w:rPr>
          <w:rFonts w:ascii="黑体" w:eastAsia="黑体" w:hint="eastAsia"/>
          <w:b w:val="0"/>
          <w:w w:val="100"/>
          <w:sz w:val="48"/>
        </w:rPr>
        <w:t>西省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6C7EF6">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6C7EF6">
        <w:fldChar w:fldCharType="separate"/>
      </w:r>
      <w:r w:rsidR="00C02A33">
        <w:rPr>
          <w:rFonts w:hint="eastAsia"/>
        </w:rPr>
        <w:t>14</w:t>
      </w:r>
      <w:r w:rsidR="005F4712" w:rsidRPr="005F4712">
        <w:rPr>
          <w:lang w:val="fr-FR"/>
        </w:rPr>
        <w:t>/T</w:t>
      </w:r>
      <w:r w:rsidR="006C7EF6">
        <w:fldChar w:fldCharType="end"/>
      </w:r>
      <w:bookmarkEnd w:id="5"/>
      <w:r w:rsidRPr="005F4712">
        <w:rPr>
          <w:lang w:val="fr-FR"/>
        </w:rPr>
        <w:t xml:space="preserve"> </w:t>
      </w:r>
      <w:r w:rsidR="006C7EF6">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C7EF6">
        <w:fldChar w:fldCharType="separate"/>
      </w:r>
      <w:r w:rsidR="006E23EA" w:rsidRPr="0012059C">
        <w:rPr>
          <w:lang w:val="fr-FR"/>
        </w:rPr>
        <w:t>XXXX</w:t>
      </w:r>
      <w:r w:rsidR="006C7EF6">
        <w:fldChar w:fldCharType="end"/>
      </w:r>
      <w:bookmarkEnd w:id="6"/>
      <w:r w:rsidR="004644A6" w:rsidRPr="005F4712">
        <w:rPr>
          <w:rFonts w:hAnsi="黑体"/>
          <w:lang w:val="fr-FR"/>
        </w:rPr>
        <w:t>—</w:t>
      </w:r>
      <w:r w:rsidR="006C7EF6">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6C7EF6">
        <w:fldChar w:fldCharType="separate"/>
      </w:r>
      <w:r w:rsidR="00087A77" w:rsidRPr="005F4712">
        <w:rPr>
          <w:lang w:val="fr-FR"/>
        </w:rPr>
        <w:t>XXXX</w:t>
      </w:r>
      <w:r w:rsidR="006C7EF6">
        <w:fldChar w:fldCharType="end"/>
      </w:r>
      <w:bookmarkEnd w:id="7"/>
    </w:p>
    <w:p w:rsidR="00E846C8" w:rsidRPr="001E4882" w:rsidRDefault="006C7EF6"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03317"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7"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6C7EF6"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CD62E3">
        <w:t>超设计使用年限电站热力系统</w:t>
      </w:r>
      <w:r w:rsidR="00CD62E3">
        <w:cr/>
        <w:t>压力容器安全评估要求</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6C7EF6"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F515EE">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6C7EF6"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sidR="00703317">
        <w:rPr>
          <w:noProof/>
          <w:sz w:val="24"/>
          <w:szCs w:val="28"/>
        </w:rPr>
      </w:r>
      <w:r w:rsidR="00703317">
        <w:rPr>
          <w:noProof/>
          <w:sz w:val="24"/>
          <w:szCs w:val="28"/>
        </w:rPr>
        <w:fldChar w:fldCharType="separate"/>
      </w:r>
      <w:r>
        <w:rPr>
          <w:noProof/>
          <w:sz w:val="24"/>
          <w:szCs w:val="28"/>
        </w:rPr>
        <w:fldChar w:fldCharType="end"/>
      </w:r>
      <w:bookmarkEnd w:id="11"/>
    </w:p>
    <w:p w:rsidR="0036429C" w:rsidRDefault="006C7EF6"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C02A33">
        <w:rPr>
          <w:noProof/>
          <w:sz w:val="21"/>
          <w:szCs w:val="28"/>
        </w:rPr>
        <w:t> </w:t>
      </w:r>
      <w:r w:rsidR="00C02A33">
        <w:rPr>
          <w:noProof/>
          <w:sz w:val="21"/>
          <w:szCs w:val="28"/>
        </w:rPr>
        <w:t> </w:t>
      </w:r>
      <w:r w:rsidR="00C02A33">
        <w:rPr>
          <w:noProof/>
          <w:sz w:val="21"/>
          <w:szCs w:val="28"/>
        </w:rPr>
        <w:t> </w:t>
      </w:r>
      <w:r w:rsidR="00C02A33">
        <w:rPr>
          <w:noProof/>
          <w:sz w:val="21"/>
          <w:szCs w:val="28"/>
        </w:rPr>
        <w:t> </w:t>
      </w:r>
      <w:r w:rsidR="00C02A33">
        <w:rPr>
          <w:noProof/>
          <w:sz w:val="21"/>
          <w:szCs w:val="28"/>
        </w:rPr>
        <w:t> </w:t>
      </w:r>
      <w:r>
        <w:rPr>
          <w:noProof/>
          <w:sz w:val="21"/>
          <w:szCs w:val="28"/>
        </w:rPr>
        <w:fldChar w:fldCharType="end"/>
      </w:r>
      <w:bookmarkEnd w:id="12"/>
    </w:p>
    <w:p w:rsidR="00DE703F" w:rsidRPr="00A6537A" w:rsidRDefault="006C7EF6" w:rsidP="007921F5">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00703317">
        <w:rPr>
          <w:b/>
          <w:noProof/>
          <w:sz w:val="21"/>
          <w:szCs w:val="28"/>
        </w:rPr>
      </w:r>
      <w:r w:rsidR="00703317">
        <w:rPr>
          <w:b/>
          <w:noProof/>
          <w:sz w:val="21"/>
          <w:szCs w:val="28"/>
        </w:rPr>
        <w:fldChar w:fldCharType="separate"/>
      </w:r>
      <w:r w:rsidRPr="00A6537A">
        <w:rPr>
          <w:b/>
          <w:noProof/>
          <w:sz w:val="21"/>
          <w:szCs w:val="28"/>
        </w:rPr>
        <w:fldChar w:fldCharType="end"/>
      </w:r>
      <w:bookmarkEnd w:id="13"/>
    </w:p>
    <w:p w:rsidR="00CD50A1" w:rsidRDefault="006C7EF6"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6C7EF6"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6C7EF6"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00CD62E3" w:rsidRPr="004C7E8B">
        <w:rPr>
          <w:rFonts w:hAnsi="黑体"/>
          <w:w w:val="100"/>
          <w:sz w:val="28"/>
        </w:rPr>
      </w:r>
      <w:r w:rsidRPr="004C7E8B">
        <w:rPr>
          <w:rFonts w:hAnsi="黑体"/>
          <w:w w:val="100"/>
          <w:sz w:val="28"/>
        </w:rPr>
        <w:fldChar w:fldCharType="separate"/>
      </w:r>
      <w:r w:rsidR="00CD62E3" w:rsidRPr="00CD62E3">
        <w:rPr>
          <w:rFonts w:hAnsi="黑体" w:hint="eastAsia"/>
          <w:w w:val="100"/>
          <w:sz w:val="28"/>
        </w:rPr>
        <w:t>山西省市场监督管理局</w:t>
      </w:r>
      <w:bookmarkStart w:id="21" w:name="_GoBack"/>
      <w:bookmarkEnd w:id="21"/>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rsidR="00A02BAE" w:rsidRPr="00CD50A1" w:rsidRDefault="0070331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6"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FB327C" w:rsidRDefault="00FB327C" w:rsidP="00FB327C">
      <w:pPr>
        <w:pStyle w:val="affffff2"/>
        <w:spacing w:after="468"/>
      </w:pPr>
      <w:bookmarkStart w:id="22" w:name="BookMark1"/>
      <w:r w:rsidRPr="00FB327C">
        <w:rPr>
          <w:rFonts w:hint="eastAsia"/>
          <w:spacing w:val="320"/>
        </w:rPr>
        <w:lastRenderedPageBreak/>
        <w:t>目</w:t>
      </w:r>
      <w:r>
        <w:rPr>
          <w:rFonts w:hint="eastAsia"/>
        </w:rPr>
        <w:t>次</w:t>
      </w:r>
    </w:p>
    <w:p w:rsidR="00FB327C" w:rsidRPr="00FB327C" w:rsidRDefault="006C7EF6">
      <w:pPr>
        <w:pStyle w:val="TOC1"/>
        <w:tabs>
          <w:tab w:val="right" w:leader="dot" w:pos="9344"/>
        </w:tabs>
        <w:rPr>
          <w:rFonts w:asciiTheme="minorHAnsi" w:eastAsiaTheme="minorEastAsia" w:hAnsiTheme="minorHAnsi" w:cstheme="minorBidi"/>
          <w:noProof/>
          <w:szCs w:val="22"/>
        </w:rPr>
      </w:pPr>
      <w:r w:rsidRPr="00FB327C">
        <w:fldChar w:fldCharType="begin"/>
      </w:r>
      <w:r w:rsidR="00FB327C" w:rsidRPr="00FB327C">
        <w:instrText xml:space="preserve"> TOC \o "1-1" \h </w:instrText>
      </w:r>
      <w:r w:rsidRPr="00FB327C">
        <w:fldChar w:fldCharType="separate"/>
      </w:r>
      <w:hyperlink w:anchor="_Toc145925226" w:history="1">
        <w:r w:rsidR="00FB327C" w:rsidRPr="00FB327C">
          <w:rPr>
            <w:rStyle w:val="affffffe"/>
            <w:noProof/>
          </w:rPr>
          <w:t>前言</w:t>
        </w:r>
        <w:r w:rsidR="00FB327C" w:rsidRPr="00FB327C">
          <w:rPr>
            <w:noProof/>
          </w:rPr>
          <w:tab/>
        </w:r>
        <w:r w:rsidRPr="00FB327C">
          <w:rPr>
            <w:noProof/>
          </w:rPr>
          <w:fldChar w:fldCharType="begin"/>
        </w:r>
        <w:r w:rsidR="00FB327C" w:rsidRPr="00FB327C">
          <w:rPr>
            <w:noProof/>
          </w:rPr>
          <w:instrText xml:space="preserve"> PAGEREF _Toc145925226 \h </w:instrText>
        </w:r>
        <w:r w:rsidRPr="00FB327C">
          <w:rPr>
            <w:noProof/>
          </w:rPr>
        </w:r>
        <w:r w:rsidRPr="00FB327C">
          <w:rPr>
            <w:noProof/>
          </w:rPr>
          <w:fldChar w:fldCharType="separate"/>
        </w:r>
        <w:r w:rsidR="00FB327C" w:rsidRPr="00FB327C">
          <w:rPr>
            <w:noProof/>
          </w:rPr>
          <w:t>II</w:t>
        </w:r>
        <w:r w:rsidRPr="00FB327C">
          <w:rPr>
            <w:noProof/>
          </w:rPr>
          <w:fldChar w:fldCharType="end"/>
        </w:r>
      </w:hyperlink>
    </w:p>
    <w:p w:rsidR="00FB327C" w:rsidRPr="00FB327C" w:rsidRDefault="00703317">
      <w:pPr>
        <w:pStyle w:val="TOC1"/>
        <w:tabs>
          <w:tab w:val="right" w:leader="dot" w:pos="9344"/>
        </w:tabs>
        <w:rPr>
          <w:rFonts w:asciiTheme="minorHAnsi" w:eastAsiaTheme="minorEastAsia" w:hAnsiTheme="minorHAnsi" w:cstheme="minorBidi"/>
          <w:noProof/>
          <w:szCs w:val="22"/>
        </w:rPr>
      </w:pPr>
      <w:hyperlink w:anchor="_Toc145925227" w:history="1">
        <w:r w:rsidR="00FB327C" w:rsidRPr="00FB327C">
          <w:rPr>
            <w:rStyle w:val="affffffe"/>
            <w:noProof/>
          </w:rPr>
          <w:t>1</w:t>
        </w:r>
        <w:r w:rsidR="00FB327C">
          <w:rPr>
            <w:rStyle w:val="affffffe"/>
            <w:noProof/>
          </w:rPr>
          <w:t xml:space="preserve"> </w:t>
        </w:r>
        <w:r w:rsidR="00FB327C" w:rsidRPr="00FB327C">
          <w:rPr>
            <w:rStyle w:val="affffffe"/>
            <w:noProof/>
          </w:rPr>
          <w:t xml:space="preserve"> 范围</w:t>
        </w:r>
        <w:r w:rsidR="00FB327C" w:rsidRPr="00FB327C">
          <w:rPr>
            <w:noProof/>
          </w:rPr>
          <w:tab/>
        </w:r>
        <w:r w:rsidR="006C7EF6" w:rsidRPr="00FB327C">
          <w:rPr>
            <w:noProof/>
          </w:rPr>
          <w:fldChar w:fldCharType="begin"/>
        </w:r>
        <w:r w:rsidR="00FB327C" w:rsidRPr="00FB327C">
          <w:rPr>
            <w:noProof/>
          </w:rPr>
          <w:instrText xml:space="preserve"> PAGEREF _Toc145925227 \h </w:instrText>
        </w:r>
        <w:r w:rsidR="006C7EF6" w:rsidRPr="00FB327C">
          <w:rPr>
            <w:noProof/>
          </w:rPr>
        </w:r>
        <w:r w:rsidR="006C7EF6" w:rsidRPr="00FB327C">
          <w:rPr>
            <w:noProof/>
          </w:rPr>
          <w:fldChar w:fldCharType="separate"/>
        </w:r>
        <w:r w:rsidR="00FB327C" w:rsidRPr="00FB327C">
          <w:rPr>
            <w:noProof/>
          </w:rPr>
          <w:t>1</w:t>
        </w:r>
        <w:r w:rsidR="006C7EF6" w:rsidRPr="00FB327C">
          <w:rPr>
            <w:noProof/>
          </w:rPr>
          <w:fldChar w:fldCharType="end"/>
        </w:r>
      </w:hyperlink>
    </w:p>
    <w:p w:rsidR="00FB327C" w:rsidRPr="00FB327C" w:rsidRDefault="00703317">
      <w:pPr>
        <w:pStyle w:val="TOC1"/>
        <w:tabs>
          <w:tab w:val="right" w:leader="dot" w:pos="9344"/>
        </w:tabs>
        <w:rPr>
          <w:rFonts w:asciiTheme="minorHAnsi" w:eastAsiaTheme="minorEastAsia" w:hAnsiTheme="minorHAnsi" w:cstheme="minorBidi"/>
          <w:noProof/>
          <w:szCs w:val="22"/>
        </w:rPr>
      </w:pPr>
      <w:hyperlink w:anchor="_Toc145925228" w:history="1">
        <w:r w:rsidR="00FB327C" w:rsidRPr="00FB327C">
          <w:rPr>
            <w:rStyle w:val="affffffe"/>
            <w:noProof/>
          </w:rPr>
          <w:t>2</w:t>
        </w:r>
        <w:r w:rsidR="00FB327C">
          <w:rPr>
            <w:rStyle w:val="affffffe"/>
            <w:noProof/>
          </w:rPr>
          <w:t xml:space="preserve"> </w:t>
        </w:r>
        <w:r w:rsidR="00FB327C" w:rsidRPr="00FB327C">
          <w:rPr>
            <w:rStyle w:val="affffffe"/>
            <w:noProof/>
          </w:rPr>
          <w:t xml:space="preserve"> 规范性引用文件</w:t>
        </w:r>
        <w:r w:rsidR="00FB327C" w:rsidRPr="00FB327C">
          <w:rPr>
            <w:noProof/>
          </w:rPr>
          <w:tab/>
        </w:r>
        <w:r w:rsidR="006C7EF6" w:rsidRPr="00FB327C">
          <w:rPr>
            <w:noProof/>
          </w:rPr>
          <w:fldChar w:fldCharType="begin"/>
        </w:r>
        <w:r w:rsidR="00FB327C" w:rsidRPr="00FB327C">
          <w:rPr>
            <w:noProof/>
          </w:rPr>
          <w:instrText xml:space="preserve"> PAGEREF _Toc145925228 \h </w:instrText>
        </w:r>
        <w:r w:rsidR="006C7EF6" w:rsidRPr="00FB327C">
          <w:rPr>
            <w:noProof/>
          </w:rPr>
        </w:r>
        <w:r w:rsidR="006C7EF6" w:rsidRPr="00FB327C">
          <w:rPr>
            <w:noProof/>
          </w:rPr>
          <w:fldChar w:fldCharType="separate"/>
        </w:r>
        <w:r w:rsidR="00FB327C" w:rsidRPr="00FB327C">
          <w:rPr>
            <w:noProof/>
          </w:rPr>
          <w:t>1</w:t>
        </w:r>
        <w:r w:rsidR="006C7EF6" w:rsidRPr="00FB327C">
          <w:rPr>
            <w:noProof/>
          </w:rPr>
          <w:fldChar w:fldCharType="end"/>
        </w:r>
      </w:hyperlink>
    </w:p>
    <w:p w:rsidR="00FB327C" w:rsidRPr="00FB327C" w:rsidRDefault="00703317">
      <w:pPr>
        <w:pStyle w:val="TOC1"/>
        <w:tabs>
          <w:tab w:val="right" w:leader="dot" w:pos="9344"/>
        </w:tabs>
        <w:rPr>
          <w:rFonts w:asciiTheme="minorHAnsi" w:eastAsiaTheme="minorEastAsia" w:hAnsiTheme="minorHAnsi" w:cstheme="minorBidi"/>
          <w:noProof/>
          <w:szCs w:val="22"/>
        </w:rPr>
      </w:pPr>
      <w:hyperlink w:anchor="_Toc145925229" w:history="1">
        <w:r w:rsidR="00FB327C" w:rsidRPr="00FB327C">
          <w:rPr>
            <w:rStyle w:val="affffffe"/>
            <w:noProof/>
          </w:rPr>
          <w:t>3</w:t>
        </w:r>
        <w:r w:rsidR="00FB327C">
          <w:rPr>
            <w:rStyle w:val="affffffe"/>
            <w:noProof/>
          </w:rPr>
          <w:t xml:space="preserve"> </w:t>
        </w:r>
        <w:r w:rsidR="00FB327C" w:rsidRPr="00FB327C">
          <w:rPr>
            <w:rStyle w:val="affffffe"/>
            <w:noProof/>
          </w:rPr>
          <w:t xml:space="preserve"> 术语和定义</w:t>
        </w:r>
        <w:r w:rsidR="00FB327C" w:rsidRPr="00FB327C">
          <w:rPr>
            <w:noProof/>
          </w:rPr>
          <w:tab/>
        </w:r>
        <w:r w:rsidR="006C7EF6" w:rsidRPr="00FB327C">
          <w:rPr>
            <w:noProof/>
          </w:rPr>
          <w:fldChar w:fldCharType="begin"/>
        </w:r>
        <w:r w:rsidR="00FB327C" w:rsidRPr="00FB327C">
          <w:rPr>
            <w:noProof/>
          </w:rPr>
          <w:instrText xml:space="preserve"> PAGEREF _Toc145925229 \h </w:instrText>
        </w:r>
        <w:r w:rsidR="006C7EF6" w:rsidRPr="00FB327C">
          <w:rPr>
            <w:noProof/>
          </w:rPr>
        </w:r>
        <w:r w:rsidR="006C7EF6" w:rsidRPr="00FB327C">
          <w:rPr>
            <w:noProof/>
          </w:rPr>
          <w:fldChar w:fldCharType="separate"/>
        </w:r>
        <w:r w:rsidR="00FB327C" w:rsidRPr="00FB327C">
          <w:rPr>
            <w:noProof/>
          </w:rPr>
          <w:t>1</w:t>
        </w:r>
        <w:r w:rsidR="006C7EF6" w:rsidRPr="00FB327C">
          <w:rPr>
            <w:noProof/>
          </w:rPr>
          <w:fldChar w:fldCharType="end"/>
        </w:r>
      </w:hyperlink>
    </w:p>
    <w:p w:rsidR="00FB327C" w:rsidRPr="00FB327C" w:rsidRDefault="00703317">
      <w:pPr>
        <w:pStyle w:val="TOC1"/>
        <w:tabs>
          <w:tab w:val="right" w:leader="dot" w:pos="9344"/>
        </w:tabs>
        <w:rPr>
          <w:rFonts w:asciiTheme="minorHAnsi" w:eastAsiaTheme="minorEastAsia" w:hAnsiTheme="minorHAnsi" w:cstheme="minorBidi"/>
          <w:noProof/>
          <w:szCs w:val="22"/>
        </w:rPr>
      </w:pPr>
      <w:hyperlink w:anchor="_Toc145925230" w:history="1">
        <w:r w:rsidR="00FB327C" w:rsidRPr="00FB327C">
          <w:rPr>
            <w:rStyle w:val="affffffe"/>
            <w:noProof/>
          </w:rPr>
          <w:t>4</w:t>
        </w:r>
        <w:r w:rsidR="00FB327C">
          <w:rPr>
            <w:rStyle w:val="affffffe"/>
            <w:noProof/>
          </w:rPr>
          <w:t xml:space="preserve"> </w:t>
        </w:r>
        <w:r w:rsidR="00FB327C" w:rsidRPr="00FB327C">
          <w:rPr>
            <w:rStyle w:val="affffffe"/>
            <w:noProof/>
          </w:rPr>
          <w:t xml:space="preserve"> 总则</w:t>
        </w:r>
        <w:r w:rsidR="00FB327C" w:rsidRPr="00FB327C">
          <w:rPr>
            <w:noProof/>
          </w:rPr>
          <w:tab/>
        </w:r>
        <w:r w:rsidR="006C7EF6" w:rsidRPr="00FB327C">
          <w:rPr>
            <w:noProof/>
          </w:rPr>
          <w:fldChar w:fldCharType="begin"/>
        </w:r>
        <w:r w:rsidR="00FB327C" w:rsidRPr="00FB327C">
          <w:rPr>
            <w:noProof/>
          </w:rPr>
          <w:instrText xml:space="preserve"> PAGEREF _Toc145925230 \h </w:instrText>
        </w:r>
        <w:r w:rsidR="006C7EF6" w:rsidRPr="00FB327C">
          <w:rPr>
            <w:noProof/>
          </w:rPr>
        </w:r>
        <w:r w:rsidR="006C7EF6" w:rsidRPr="00FB327C">
          <w:rPr>
            <w:noProof/>
          </w:rPr>
          <w:fldChar w:fldCharType="separate"/>
        </w:r>
        <w:r w:rsidR="00FB327C" w:rsidRPr="00FB327C">
          <w:rPr>
            <w:noProof/>
          </w:rPr>
          <w:t>2</w:t>
        </w:r>
        <w:r w:rsidR="006C7EF6" w:rsidRPr="00FB327C">
          <w:rPr>
            <w:noProof/>
          </w:rPr>
          <w:fldChar w:fldCharType="end"/>
        </w:r>
      </w:hyperlink>
    </w:p>
    <w:p w:rsidR="00FB327C" w:rsidRPr="00FB327C" w:rsidRDefault="00703317">
      <w:pPr>
        <w:pStyle w:val="TOC1"/>
        <w:tabs>
          <w:tab w:val="right" w:leader="dot" w:pos="9344"/>
        </w:tabs>
        <w:rPr>
          <w:rFonts w:asciiTheme="minorHAnsi" w:eastAsiaTheme="minorEastAsia" w:hAnsiTheme="minorHAnsi" w:cstheme="minorBidi"/>
          <w:noProof/>
          <w:szCs w:val="22"/>
        </w:rPr>
      </w:pPr>
      <w:hyperlink w:anchor="_Toc145925231" w:history="1">
        <w:r w:rsidR="00FB327C" w:rsidRPr="00FB327C">
          <w:rPr>
            <w:rStyle w:val="affffffe"/>
            <w:noProof/>
          </w:rPr>
          <w:t>5</w:t>
        </w:r>
        <w:r w:rsidR="00FB327C">
          <w:rPr>
            <w:rStyle w:val="affffffe"/>
            <w:noProof/>
          </w:rPr>
          <w:t xml:space="preserve"> </w:t>
        </w:r>
        <w:r w:rsidR="00FB327C" w:rsidRPr="00FB327C">
          <w:rPr>
            <w:rStyle w:val="affffffe"/>
            <w:noProof/>
          </w:rPr>
          <w:t xml:space="preserve"> 评估程序</w:t>
        </w:r>
        <w:r w:rsidR="00FB327C" w:rsidRPr="00FB327C">
          <w:rPr>
            <w:noProof/>
          </w:rPr>
          <w:tab/>
        </w:r>
        <w:r w:rsidR="006C7EF6" w:rsidRPr="00FB327C">
          <w:rPr>
            <w:noProof/>
          </w:rPr>
          <w:fldChar w:fldCharType="begin"/>
        </w:r>
        <w:r w:rsidR="00FB327C" w:rsidRPr="00FB327C">
          <w:rPr>
            <w:noProof/>
          </w:rPr>
          <w:instrText xml:space="preserve"> PAGEREF _Toc145925231 \h </w:instrText>
        </w:r>
        <w:r w:rsidR="006C7EF6" w:rsidRPr="00FB327C">
          <w:rPr>
            <w:noProof/>
          </w:rPr>
        </w:r>
        <w:r w:rsidR="006C7EF6" w:rsidRPr="00FB327C">
          <w:rPr>
            <w:noProof/>
          </w:rPr>
          <w:fldChar w:fldCharType="separate"/>
        </w:r>
        <w:r w:rsidR="00FB327C" w:rsidRPr="00FB327C">
          <w:rPr>
            <w:noProof/>
          </w:rPr>
          <w:t>2</w:t>
        </w:r>
        <w:r w:rsidR="006C7EF6" w:rsidRPr="00FB327C">
          <w:rPr>
            <w:noProof/>
          </w:rPr>
          <w:fldChar w:fldCharType="end"/>
        </w:r>
      </w:hyperlink>
    </w:p>
    <w:p w:rsidR="00FB327C" w:rsidRPr="00FB327C" w:rsidRDefault="00703317">
      <w:pPr>
        <w:pStyle w:val="TOC1"/>
        <w:tabs>
          <w:tab w:val="right" w:leader="dot" w:pos="9344"/>
        </w:tabs>
        <w:rPr>
          <w:rFonts w:asciiTheme="minorHAnsi" w:eastAsiaTheme="minorEastAsia" w:hAnsiTheme="minorHAnsi" w:cstheme="minorBidi"/>
          <w:noProof/>
          <w:szCs w:val="22"/>
        </w:rPr>
      </w:pPr>
      <w:hyperlink w:anchor="_Toc145925232" w:history="1">
        <w:r w:rsidR="00FB327C" w:rsidRPr="00FB327C">
          <w:rPr>
            <w:rStyle w:val="affffffe"/>
            <w:noProof/>
          </w:rPr>
          <w:t>6</w:t>
        </w:r>
        <w:r w:rsidR="00FB327C">
          <w:rPr>
            <w:rStyle w:val="affffffe"/>
            <w:noProof/>
          </w:rPr>
          <w:t xml:space="preserve"> </w:t>
        </w:r>
        <w:r w:rsidR="00FB327C" w:rsidRPr="00FB327C">
          <w:rPr>
            <w:rStyle w:val="affffffe"/>
            <w:noProof/>
          </w:rPr>
          <w:t xml:space="preserve"> 评估步骤</w:t>
        </w:r>
        <w:r w:rsidR="00FB327C" w:rsidRPr="00FB327C">
          <w:rPr>
            <w:noProof/>
          </w:rPr>
          <w:tab/>
        </w:r>
        <w:r w:rsidR="006C7EF6" w:rsidRPr="00FB327C">
          <w:rPr>
            <w:noProof/>
          </w:rPr>
          <w:fldChar w:fldCharType="begin"/>
        </w:r>
        <w:r w:rsidR="00FB327C" w:rsidRPr="00FB327C">
          <w:rPr>
            <w:noProof/>
          </w:rPr>
          <w:instrText xml:space="preserve"> PAGEREF _Toc145925232 \h </w:instrText>
        </w:r>
        <w:r w:rsidR="006C7EF6" w:rsidRPr="00FB327C">
          <w:rPr>
            <w:noProof/>
          </w:rPr>
        </w:r>
        <w:r w:rsidR="006C7EF6" w:rsidRPr="00FB327C">
          <w:rPr>
            <w:noProof/>
          </w:rPr>
          <w:fldChar w:fldCharType="separate"/>
        </w:r>
        <w:r w:rsidR="00FB327C" w:rsidRPr="00FB327C">
          <w:rPr>
            <w:noProof/>
          </w:rPr>
          <w:t>3</w:t>
        </w:r>
        <w:r w:rsidR="006C7EF6" w:rsidRPr="00FB327C">
          <w:rPr>
            <w:noProof/>
          </w:rPr>
          <w:fldChar w:fldCharType="end"/>
        </w:r>
      </w:hyperlink>
    </w:p>
    <w:p w:rsidR="00FB327C" w:rsidRPr="00FB327C" w:rsidRDefault="00703317">
      <w:pPr>
        <w:pStyle w:val="TOC1"/>
        <w:tabs>
          <w:tab w:val="right" w:leader="dot" w:pos="9344"/>
        </w:tabs>
        <w:rPr>
          <w:rFonts w:asciiTheme="minorHAnsi" w:eastAsiaTheme="minorEastAsia" w:hAnsiTheme="minorHAnsi" w:cstheme="minorBidi"/>
          <w:noProof/>
          <w:szCs w:val="22"/>
        </w:rPr>
      </w:pPr>
      <w:hyperlink w:anchor="_Toc145925233" w:history="1">
        <w:r w:rsidR="00FB327C" w:rsidRPr="00FB327C">
          <w:rPr>
            <w:rStyle w:val="affffffe"/>
            <w:noProof/>
          </w:rPr>
          <w:t>7</w:t>
        </w:r>
        <w:r w:rsidR="00FB327C">
          <w:rPr>
            <w:rStyle w:val="affffffe"/>
            <w:noProof/>
          </w:rPr>
          <w:t xml:space="preserve"> </w:t>
        </w:r>
        <w:r w:rsidR="00FB327C" w:rsidRPr="00FB327C">
          <w:rPr>
            <w:rStyle w:val="affffffe"/>
            <w:noProof/>
          </w:rPr>
          <w:t xml:space="preserve"> 评估结论及报告</w:t>
        </w:r>
        <w:r w:rsidR="00FB327C" w:rsidRPr="00FB327C">
          <w:rPr>
            <w:noProof/>
          </w:rPr>
          <w:tab/>
        </w:r>
        <w:r w:rsidR="006C7EF6" w:rsidRPr="00FB327C">
          <w:rPr>
            <w:noProof/>
          </w:rPr>
          <w:fldChar w:fldCharType="begin"/>
        </w:r>
        <w:r w:rsidR="00FB327C" w:rsidRPr="00FB327C">
          <w:rPr>
            <w:noProof/>
          </w:rPr>
          <w:instrText xml:space="preserve"> PAGEREF _Toc145925233 \h </w:instrText>
        </w:r>
        <w:r w:rsidR="006C7EF6" w:rsidRPr="00FB327C">
          <w:rPr>
            <w:noProof/>
          </w:rPr>
        </w:r>
        <w:r w:rsidR="006C7EF6" w:rsidRPr="00FB327C">
          <w:rPr>
            <w:noProof/>
          </w:rPr>
          <w:fldChar w:fldCharType="separate"/>
        </w:r>
        <w:r w:rsidR="00FB327C" w:rsidRPr="00FB327C">
          <w:rPr>
            <w:noProof/>
          </w:rPr>
          <w:t>6</w:t>
        </w:r>
        <w:r w:rsidR="006C7EF6" w:rsidRPr="00FB327C">
          <w:rPr>
            <w:noProof/>
          </w:rPr>
          <w:fldChar w:fldCharType="end"/>
        </w:r>
      </w:hyperlink>
    </w:p>
    <w:p w:rsidR="00FB327C" w:rsidRPr="00FB327C" w:rsidRDefault="00703317">
      <w:pPr>
        <w:pStyle w:val="TOC1"/>
        <w:tabs>
          <w:tab w:val="right" w:leader="dot" w:pos="9344"/>
        </w:tabs>
        <w:rPr>
          <w:rFonts w:asciiTheme="minorHAnsi" w:eastAsiaTheme="minorEastAsia" w:hAnsiTheme="minorHAnsi" w:cstheme="minorBidi"/>
          <w:noProof/>
          <w:szCs w:val="22"/>
        </w:rPr>
      </w:pPr>
      <w:hyperlink w:anchor="_Toc145925234" w:history="1">
        <w:r w:rsidR="00FB327C" w:rsidRPr="00FB327C">
          <w:rPr>
            <w:rStyle w:val="affffffe"/>
            <w:noProof/>
          </w:rPr>
          <w:t>附录A（规范性）</w:t>
        </w:r>
        <w:r w:rsidR="00FB327C">
          <w:rPr>
            <w:rStyle w:val="affffffe"/>
            <w:noProof/>
          </w:rPr>
          <w:t xml:space="preserve"> </w:t>
        </w:r>
        <w:r w:rsidR="00FB327C" w:rsidRPr="00FB327C">
          <w:rPr>
            <w:rStyle w:val="affffffe"/>
            <w:noProof/>
          </w:rPr>
          <w:t xml:space="preserve"> 超设计使用年限电站热力系统压力容器安全评估报告</w:t>
        </w:r>
        <w:r w:rsidR="00FB327C" w:rsidRPr="00FB327C">
          <w:rPr>
            <w:noProof/>
          </w:rPr>
          <w:tab/>
        </w:r>
        <w:r w:rsidR="006C7EF6" w:rsidRPr="00FB327C">
          <w:rPr>
            <w:noProof/>
          </w:rPr>
          <w:fldChar w:fldCharType="begin"/>
        </w:r>
        <w:r w:rsidR="00FB327C" w:rsidRPr="00FB327C">
          <w:rPr>
            <w:noProof/>
          </w:rPr>
          <w:instrText xml:space="preserve"> PAGEREF _Toc145925234 \h </w:instrText>
        </w:r>
        <w:r w:rsidR="006C7EF6" w:rsidRPr="00FB327C">
          <w:rPr>
            <w:noProof/>
          </w:rPr>
        </w:r>
        <w:r w:rsidR="006C7EF6" w:rsidRPr="00FB327C">
          <w:rPr>
            <w:noProof/>
          </w:rPr>
          <w:fldChar w:fldCharType="separate"/>
        </w:r>
        <w:r w:rsidR="00FB327C" w:rsidRPr="00FB327C">
          <w:rPr>
            <w:noProof/>
          </w:rPr>
          <w:t>7</w:t>
        </w:r>
        <w:r w:rsidR="006C7EF6" w:rsidRPr="00FB327C">
          <w:rPr>
            <w:noProof/>
          </w:rPr>
          <w:fldChar w:fldCharType="end"/>
        </w:r>
      </w:hyperlink>
    </w:p>
    <w:p w:rsidR="00FB327C" w:rsidRPr="00FB327C" w:rsidRDefault="006C7EF6" w:rsidP="00FB327C">
      <w:pPr>
        <w:pStyle w:val="affffff2"/>
        <w:spacing w:after="468"/>
        <w:sectPr w:rsidR="00FB327C" w:rsidRPr="00FB327C" w:rsidSect="00FB327C">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FB327C">
        <w:fldChar w:fldCharType="end"/>
      </w:r>
    </w:p>
    <w:p w:rsidR="00FB327C" w:rsidRDefault="00FB327C" w:rsidP="00FB327C">
      <w:pPr>
        <w:pStyle w:val="a6"/>
        <w:spacing w:after="468"/>
      </w:pPr>
      <w:bookmarkStart w:id="23" w:name="_Toc145925226"/>
      <w:bookmarkStart w:id="24" w:name="BookMark2"/>
      <w:bookmarkEnd w:id="22"/>
      <w:r w:rsidRPr="00FB327C">
        <w:rPr>
          <w:spacing w:val="320"/>
        </w:rPr>
        <w:lastRenderedPageBreak/>
        <w:t>前</w:t>
      </w:r>
      <w:r>
        <w:t>言</w:t>
      </w:r>
      <w:bookmarkEnd w:id="23"/>
    </w:p>
    <w:p w:rsidR="00FB327C" w:rsidRDefault="00FB327C" w:rsidP="00FB327C">
      <w:pPr>
        <w:pStyle w:val="affffb"/>
        <w:ind w:firstLine="420"/>
      </w:pPr>
      <w:r>
        <w:rPr>
          <w:rFonts w:hint="eastAsia"/>
        </w:rPr>
        <w:t>本文件按照GB/T 1.1—2020《标准化工作导则  第1部分：标准化文件的结构和起草规则》的规定起草。</w:t>
      </w:r>
    </w:p>
    <w:p w:rsidR="00FB327C" w:rsidRDefault="00FB327C" w:rsidP="00FB327C">
      <w:pPr>
        <w:pStyle w:val="affffb"/>
        <w:ind w:firstLine="420"/>
      </w:pPr>
      <w:r>
        <w:rPr>
          <w:rFonts w:hint="eastAsia"/>
        </w:rPr>
        <w:t>本文件由山西省市场监督管理局提出。</w:t>
      </w:r>
    </w:p>
    <w:p w:rsidR="00FB327C" w:rsidRDefault="00FB327C" w:rsidP="00FB327C">
      <w:pPr>
        <w:pStyle w:val="affffb"/>
        <w:ind w:firstLine="420"/>
      </w:pPr>
      <w:r>
        <w:rPr>
          <w:rFonts w:hint="eastAsia"/>
        </w:rPr>
        <w:t>本文件由山西省特种设备安全标准化技术委员会归口。</w:t>
      </w:r>
    </w:p>
    <w:p w:rsidR="00FB327C" w:rsidRPr="00FB327C" w:rsidRDefault="00FB327C" w:rsidP="00FB327C">
      <w:pPr>
        <w:pStyle w:val="affffb"/>
        <w:ind w:firstLine="420"/>
        <w:rPr>
          <w:szCs w:val="21"/>
        </w:rPr>
      </w:pPr>
      <w:r>
        <w:rPr>
          <w:rFonts w:hint="eastAsia"/>
        </w:rPr>
        <w:t>本文件起草单位：</w:t>
      </w:r>
      <w:r>
        <w:rPr>
          <w:rFonts w:hAnsi="宋体" w:hint="eastAsia"/>
        </w:rPr>
        <w:t>国网山西省电力公司电力科学研究院、山西省检验检测中心（山西省标准计量技术研究院）。</w:t>
      </w:r>
    </w:p>
    <w:p w:rsidR="00FB327C" w:rsidRDefault="00FB327C" w:rsidP="00FB327C">
      <w:pPr>
        <w:pStyle w:val="afffffffffffb"/>
      </w:pPr>
      <w:r>
        <w:rPr>
          <w:rFonts w:hint="eastAsia"/>
        </w:rPr>
        <w:t>本文件主要起草人：</w:t>
      </w:r>
      <w:r>
        <w:rPr>
          <w:rFonts w:hAnsi="宋体" w:hint="eastAsia"/>
        </w:rPr>
        <w:t>张浩</w:t>
      </w:r>
      <w:r>
        <w:rPr>
          <w:rFonts w:hint="eastAsia"/>
        </w:rPr>
        <w:t>、</w:t>
      </w:r>
      <w:r>
        <w:rPr>
          <w:rFonts w:hAnsi="宋体" w:hint="eastAsia"/>
        </w:rPr>
        <w:t>王兴义</w:t>
      </w:r>
      <w:r>
        <w:rPr>
          <w:rFonts w:hint="eastAsia"/>
        </w:rPr>
        <w:t>、</w:t>
      </w:r>
      <w:r>
        <w:rPr>
          <w:rFonts w:hAnsi="宋体" w:hint="eastAsia"/>
        </w:rPr>
        <w:t>高义斌</w:t>
      </w:r>
      <w:r>
        <w:rPr>
          <w:rFonts w:hint="eastAsia"/>
        </w:rPr>
        <w:t>、</w:t>
      </w:r>
      <w:r>
        <w:rPr>
          <w:rFonts w:hAnsi="宋体" w:hint="eastAsia"/>
        </w:rPr>
        <w:t>宋永刚</w:t>
      </w:r>
      <w:r>
        <w:rPr>
          <w:rFonts w:hint="eastAsia"/>
        </w:rPr>
        <w:t>、</w:t>
      </w:r>
      <w:r>
        <w:rPr>
          <w:rFonts w:hAnsi="宋体" w:hint="eastAsia"/>
        </w:rPr>
        <w:t>邬宇</w:t>
      </w:r>
      <w:r>
        <w:rPr>
          <w:rFonts w:hint="eastAsia"/>
        </w:rPr>
        <w:t>、</w:t>
      </w:r>
      <w:r>
        <w:rPr>
          <w:rFonts w:hAnsi="宋体" w:hint="eastAsia"/>
        </w:rPr>
        <w:t>黄纯德</w:t>
      </w:r>
      <w:r>
        <w:rPr>
          <w:rFonts w:hint="eastAsia"/>
        </w:rPr>
        <w:t>、</w:t>
      </w:r>
      <w:r>
        <w:rPr>
          <w:rFonts w:hAnsi="宋体" w:hint="eastAsia"/>
        </w:rPr>
        <w:t>付文华</w:t>
      </w:r>
      <w:r>
        <w:rPr>
          <w:rFonts w:hint="eastAsia"/>
        </w:rPr>
        <w:t>、</w:t>
      </w:r>
      <w:r>
        <w:rPr>
          <w:rFonts w:hAnsi="宋体" w:hint="eastAsia"/>
        </w:rPr>
        <w:t>钟黎明</w:t>
      </w:r>
      <w:r>
        <w:rPr>
          <w:rFonts w:hint="eastAsia"/>
        </w:rPr>
        <w:t>、</w:t>
      </w:r>
      <w:r>
        <w:rPr>
          <w:rFonts w:hAnsi="宋体" w:hint="eastAsia"/>
        </w:rPr>
        <w:t>冀晋川</w:t>
      </w:r>
      <w:r>
        <w:rPr>
          <w:rFonts w:hint="eastAsia"/>
        </w:rPr>
        <w:t>、</w:t>
      </w:r>
      <w:r>
        <w:rPr>
          <w:rFonts w:hAnsi="宋体" w:hint="eastAsia"/>
        </w:rPr>
        <w:t>王晨宝</w:t>
      </w:r>
      <w:r>
        <w:rPr>
          <w:rFonts w:hint="eastAsia"/>
        </w:rPr>
        <w:t>、</w:t>
      </w:r>
      <w:r>
        <w:rPr>
          <w:rFonts w:hAnsi="宋体" w:hint="eastAsia"/>
        </w:rPr>
        <w:t>赵建忠</w:t>
      </w:r>
      <w:r>
        <w:rPr>
          <w:rFonts w:hint="eastAsia"/>
        </w:rPr>
        <w:t>、</w:t>
      </w:r>
      <w:r>
        <w:rPr>
          <w:rFonts w:hAnsi="宋体" w:hint="eastAsia"/>
        </w:rPr>
        <w:t>杜晓刚。</w:t>
      </w:r>
    </w:p>
    <w:p w:rsidR="00FB327C" w:rsidRPr="00FB327C" w:rsidRDefault="00FB327C" w:rsidP="00FB327C">
      <w:pPr>
        <w:pStyle w:val="affffb"/>
        <w:ind w:firstLine="420"/>
      </w:pPr>
    </w:p>
    <w:p w:rsidR="00FB327C" w:rsidRDefault="00FB327C" w:rsidP="00FB327C">
      <w:pPr>
        <w:pStyle w:val="affffb"/>
        <w:ind w:firstLine="420"/>
      </w:pPr>
    </w:p>
    <w:p w:rsidR="00FB327C" w:rsidRPr="00FB327C" w:rsidRDefault="00FB327C" w:rsidP="00FB327C">
      <w:pPr>
        <w:pStyle w:val="affffb"/>
        <w:ind w:firstLine="420"/>
        <w:sectPr w:rsidR="00FB327C" w:rsidRPr="00FB327C" w:rsidSect="00FB327C">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0AB3DE31D824C2ABC9CEA59CC48C676"/>
        </w:placeholder>
      </w:sdtPr>
      <w:sdtEndPr/>
      <w:sdtContent>
        <w:bookmarkStart w:id="26" w:name="NEW_STAND_NAME" w:displacedByCustomXml="prev"/>
        <w:p w:rsidR="00C02A33" w:rsidRDefault="00C02A33" w:rsidP="00CD62E3">
          <w:pPr>
            <w:pStyle w:val="afffffffff8"/>
            <w:spacing w:beforeLines="1" w:before="3" w:afterLines="1" w:after="3"/>
          </w:pPr>
          <w:r>
            <w:rPr>
              <w:rFonts w:hint="eastAsia"/>
            </w:rPr>
            <w:t>超设计使用年限电站热力系统</w:t>
          </w:r>
        </w:p>
        <w:p w:rsidR="00F26B7E" w:rsidRPr="00F26B7E" w:rsidRDefault="00C02A33" w:rsidP="00CD62E3">
          <w:pPr>
            <w:pStyle w:val="afffffffff8"/>
            <w:spacing w:beforeLines="1" w:before="3" w:after="680"/>
          </w:pPr>
          <w:r>
            <w:rPr>
              <w:rFonts w:hint="eastAsia"/>
            </w:rPr>
            <w:t>压力容器安全评估要求</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145925175"/>
      <w:bookmarkStart w:id="36" w:name="_Toc145925227"/>
      <w:r>
        <w:rPr>
          <w:rFonts w:hint="eastAsia"/>
        </w:rPr>
        <w:t>范围</w:t>
      </w:r>
      <w:bookmarkEnd w:id="27"/>
      <w:bookmarkEnd w:id="28"/>
      <w:bookmarkEnd w:id="29"/>
      <w:bookmarkEnd w:id="30"/>
      <w:bookmarkEnd w:id="31"/>
      <w:bookmarkEnd w:id="32"/>
      <w:bookmarkEnd w:id="33"/>
      <w:bookmarkEnd w:id="34"/>
      <w:bookmarkEnd w:id="35"/>
      <w:bookmarkEnd w:id="36"/>
    </w:p>
    <w:p w:rsidR="00C02A33" w:rsidRDefault="00C02A33" w:rsidP="00C02A33">
      <w:pPr>
        <w:pStyle w:val="affffb"/>
        <w:ind w:firstLine="420"/>
        <w:rPr>
          <w:szCs w:val="21"/>
        </w:rPr>
      </w:pPr>
      <w:bookmarkStart w:id="37" w:name="_Toc17233326"/>
      <w:bookmarkStart w:id="38" w:name="_Toc17233334"/>
      <w:bookmarkStart w:id="39" w:name="_Toc24884212"/>
      <w:bookmarkStart w:id="40" w:name="_Toc24884219"/>
      <w:bookmarkStart w:id="41" w:name="_Toc26648466"/>
      <w:r>
        <w:rPr>
          <w:rFonts w:hint="eastAsia"/>
        </w:rPr>
        <w:t>本文件规定了超设计使用年限电站热力系统压力容器安全评估的术语和定义、总则、评估程序、评估步骤、评估结论和报告。</w:t>
      </w:r>
    </w:p>
    <w:p w:rsidR="00C02A33" w:rsidRDefault="00C02A33" w:rsidP="00C02A33">
      <w:pPr>
        <w:pStyle w:val="affffb"/>
        <w:ind w:firstLine="420"/>
      </w:pPr>
      <w:r>
        <w:rPr>
          <w:rFonts w:hint="eastAsia"/>
        </w:rPr>
        <w:t>本文件适用的电站热力系统压力容器包括高压加热器、低压加热器、除氧器、连续排污扩容器和定期排污扩容器。</w:t>
      </w:r>
    </w:p>
    <w:p w:rsidR="008B0C9C" w:rsidRDefault="00C02A33" w:rsidP="00C02A33">
      <w:pPr>
        <w:pStyle w:val="affffb"/>
        <w:ind w:firstLine="420"/>
      </w:pPr>
      <w:r>
        <w:rPr>
          <w:rFonts w:hint="eastAsia"/>
        </w:rPr>
        <w:t>电站内其他的超设计使用年限压力容器的安全评估可参照本文件执行。</w:t>
      </w:r>
    </w:p>
    <w:p w:rsidR="00E2552F" w:rsidRDefault="00E2552F" w:rsidP="00A77CCB">
      <w:pPr>
        <w:pStyle w:val="affc"/>
        <w:spacing w:before="312" w:after="312"/>
      </w:pPr>
      <w:bookmarkStart w:id="42" w:name="_Toc26718931"/>
      <w:bookmarkStart w:id="43" w:name="_Toc26986531"/>
      <w:bookmarkStart w:id="44" w:name="_Toc26986772"/>
      <w:bookmarkStart w:id="45" w:name="_Toc145925176"/>
      <w:bookmarkStart w:id="46" w:name="_Toc145925228"/>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5F836CDB11724A7794B9F016D875E0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02A33" w:rsidRDefault="00C02A33" w:rsidP="00C02A33">
      <w:pPr>
        <w:widowControl/>
        <w:ind w:left="420"/>
        <w:jc w:val="left"/>
        <w:rPr>
          <w:rFonts w:ascii="宋体" w:hAnsi="宋体"/>
          <w:color w:val="000000"/>
        </w:rPr>
      </w:pPr>
      <w:r>
        <w:rPr>
          <w:rFonts w:ascii="宋体" w:hAnsi="宋体" w:hint="eastAsia"/>
          <w:color w:val="000000"/>
        </w:rPr>
        <w:t>GB/T</w:t>
      </w:r>
      <w:r>
        <w:rPr>
          <w:rFonts w:ascii="宋体" w:hAnsi="宋体"/>
          <w:color w:val="000000"/>
        </w:rPr>
        <w:t xml:space="preserve"> </w:t>
      </w:r>
      <w:r>
        <w:rPr>
          <w:rFonts w:ascii="宋体" w:hAnsi="宋体" w:hint="eastAsia"/>
          <w:color w:val="000000"/>
        </w:rPr>
        <w:t>713 锅炉和压力容器用钢板</w:t>
      </w:r>
    </w:p>
    <w:p w:rsidR="00C02A33" w:rsidRDefault="00C02A33" w:rsidP="00C02A33">
      <w:pPr>
        <w:widowControl/>
        <w:ind w:left="420"/>
        <w:jc w:val="left"/>
        <w:rPr>
          <w:rFonts w:ascii="宋体" w:hAnsi="宋体"/>
          <w:color w:val="000000"/>
        </w:rPr>
      </w:pPr>
      <w:r>
        <w:rPr>
          <w:rFonts w:ascii="宋体" w:hAnsi="宋体" w:hint="eastAsia"/>
          <w:color w:val="000000"/>
        </w:rPr>
        <w:t>GB/T 26610</w:t>
      </w:r>
      <w:r>
        <w:rPr>
          <w:rFonts w:hint="eastAsia"/>
        </w:rPr>
        <w:t xml:space="preserve"> </w:t>
      </w:r>
      <w:r>
        <w:rPr>
          <w:rFonts w:ascii="宋体" w:hAnsi="宋体"/>
        </w:rPr>
        <w:t>承压设备系统基于风险的检验实施导则</w:t>
      </w:r>
    </w:p>
    <w:p w:rsidR="00C02A33" w:rsidRDefault="00C02A33" w:rsidP="00C02A33">
      <w:pPr>
        <w:widowControl/>
        <w:ind w:left="420"/>
        <w:jc w:val="left"/>
        <w:rPr>
          <w:rFonts w:ascii="宋体" w:hAnsi="宋体"/>
          <w:color w:val="000000"/>
        </w:rPr>
      </w:pPr>
      <w:r>
        <w:rPr>
          <w:rFonts w:ascii="宋体" w:hAnsi="宋体" w:hint="eastAsia"/>
          <w:color w:val="000000"/>
        </w:rPr>
        <w:t>GB/T 30579 承压设备损伤模式识别</w:t>
      </w:r>
    </w:p>
    <w:p w:rsidR="00C02A33" w:rsidRDefault="00C02A33" w:rsidP="00C02A33">
      <w:pPr>
        <w:widowControl/>
        <w:ind w:left="420"/>
        <w:jc w:val="left"/>
        <w:rPr>
          <w:rFonts w:ascii="宋体" w:hAnsi="宋体"/>
          <w:color w:val="000000"/>
        </w:rPr>
      </w:pPr>
      <w:r>
        <w:rPr>
          <w:rFonts w:ascii="宋体" w:hAnsi="宋体" w:hint="eastAsia"/>
          <w:color w:val="000000"/>
        </w:rPr>
        <w:t>NB/T 47008 承压设备用碳素钢和合金钢锻件</w:t>
      </w:r>
    </w:p>
    <w:p w:rsidR="00C02A33" w:rsidRDefault="00C02A33" w:rsidP="00C02A33">
      <w:pPr>
        <w:widowControl/>
        <w:spacing w:line="285" w:lineRule="auto"/>
        <w:ind w:firstLineChars="200" w:firstLine="420"/>
        <w:rPr>
          <w:rFonts w:ascii="宋体" w:hAnsi="宋体"/>
          <w:color w:val="000000"/>
        </w:rPr>
      </w:pPr>
      <w:r>
        <w:rPr>
          <w:rFonts w:ascii="宋体" w:hAnsi="宋体" w:hint="eastAsia"/>
          <w:color w:val="000000"/>
        </w:rPr>
        <w:t>DL/T 674 火电厂用20号钢珠光体球化评级标准</w:t>
      </w:r>
    </w:p>
    <w:p w:rsidR="00C02A33" w:rsidRDefault="00C02A33" w:rsidP="00C02A33">
      <w:pPr>
        <w:widowControl/>
        <w:spacing w:line="285" w:lineRule="auto"/>
        <w:ind w:firstLineChars="200" w:firstLine="420"/>
        <w:rPr>
          <w:rFonts w:ascii="宋体" w:hAnsi="宋体"/>
          <w:color w:val="000000"/>
        </w:rPr>
      </w:pPr>
      <w:r>
        <w:rPr>
          <w:rFonts w:ascii="宋体" w:hAnsi="宋体" w:hint="eastAsia"/>
          <w:color w:val="000000"/>
        </w:rPr>
        <w:t>DL/T 773 火电厂用12Cr1MoV钢球化评级标准</w:t>
      </w:r>
    </w:p>
    <w:p w:rsidR="00C02A33" w:rsidRDefault="00C02A33" w:rsidP="00C02A33">
      <w:pPr>
        <w:widowControl/>
        <w:spacing w:line="285" w:lineRule="auto"/>
        <w:ind w:firstLineChars="200" w:firstLine="420"/>
        <w:rPr>
          <w:rFonts w:ascii="宋体" w:hAnsi="宋体"/>
          <w:color w:val="000000"/>
        </w:rPr>
      </w:pPr>
      <w:r>
        <w:rPr>
          <w:rFonts w:ascii="宋体" w:hAnsi="宋体" w:hint="eastAsia"/>
          <w:color w:val="000000"/>
        </w:rPr>
        <w:t>DL/T 786 碳钢石墨化检验及评级标准</w:t>
      </w:r>
    </w:p>
    <w:p w:rsidR="00C02A33" w:rsidRDefault="00C02A33" w:rsidP="00C02A33">
      <w:pPr>
        <w:widowControl/>
        <w:spacing w:line="285" w:lineRule="auto"/>
        <w:ind w:firstLineChars="200" w:firstLine="420"/>
        <w:rPr>
          <w:rFonts w:ascii="宋体" w:hAnsi="宋体"/>
          <w:color w:val="000000"/>
        </w:rPr>
      </w:pPr>
      <w:r>
        <w:rPr>
          <w:rFonts w:ascii="宋体" w:hAnsi="宋体" w:hint="eastAsia"/>
          <w:color w:val="000000"/>
        </w:rPr>
        <w:t>DL/T 787 火电厂用15CrMo钢珠光体球化评级标准</w:t>
      </w:r>
    </w:p>
    <w:p w:rsidR="00C02A33" w:rsidRDefault="00C02A33" w:rsidP="00C02A33">
      <w:pPr>
        <w:widowControl/>
        <w:ind w:left="420"/>
        <w:jc w:val="left"/>
        <w:rPr>
          <w:rFonts w:ascii="宋体" w:hAnsi="宋体"/>
          <w:color w:val="000000"/>
        </w:rPr>
      </w:pPr>
      <w:r>
        <w:rPr>
          <w:rFonts w:ascii="宋体" w:hAnsi="宋体" w:hint="eastAsia"/>
          <w:color w:val="000000"/>
        </w:rPr>
        <w:t>DL/T 999 电站用2.25Cr-1Mo钢球化评级标准</w:t>
      </w:r>
    </w:p>
    <w:p w:rsidR="00AA6EC9" w:rsidRPr="00C02A33" w:rsidRDefault="00C02A33" w:rsidP="00C02A33">
      <w:pPr>
        <w:widowControl/>
        <w:ind w:left="420"/>
        <w:jc w:val="left"/>
        <w:rPr>
          <w:rFonts w:ascii="宋体" w:hAnsi="宋体"/>
          <w:color w:val="000000"/>
        </w:rPr>
      </w:pPr>
      <w:r>
        <w:rPr>
          <w:rFonts w:ascii="宋体" w:hAnsi="宋体" w:hint="eastAsia"/>
          <w:color w:val="000000"/>
        </w:rPr>
        <w:t>TSG 21-2016 固定式压力容器安全技术监察规程</w:t>
      </w:r>
    </w:p>
    <w:p w:rsidR="00B265BC" w:rsidRPr="00E030F9" w:rsidRDefault="00FD59EB" w:rsidP="00FD59EB">
      <w:pPr>
        <w:pStyle w:val="affc"/>
        <w:spacing w:before="312" w:after="312"/>
      </w:pPr>
      <w:bookmarkStart w:id="47" w:name="_Toc145925177"/>
      <w:bookmarkStart w:id="48" w:name="_Toc145925229"/>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D6E41478A39B48658DAB2011166E21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C02A33" w:rsidP="00BA263B">
          <w:pPr>
            <w:pStyle w:val="affffb"/>
            <w:ind w:firstLine="420"/>
          </w:pPr>
          <w:r>
            <w:t>下列术语和定义适用于本文件。</w:t>
          </w:r>
        </w:p>
      </w:sdtContent>
    </w:sdt>
    <w:p w:rsidR="00C02A33" w:rsidRDefault="00C02A33" w:rsidP="00C02A33">
      <w:pPr>
        <w:pStyle w:val="affd"/>
        <w:spacing w:before="156" w:after="156"/>
        <w:rPr>
          <w:szCs w:val="21"/>
        </w:rPr>
      </w:pPr>
      <w:bookmarkStart w:id="50" w:name="_Toc145925178"/>
      <w:r>
        <w:rPr>
          <w:rFonts w:hint="eastAsia"/>
        </w:rPr>
        <w:t>超设计使用年限电站热力系统压力容器</w:t>
      </w:r>
      <w:bookmarkEnd w:id="50"/>
    </w:p>
    <w:p w:rsidR="00C02A33" w:rsidRDefault="00C02A33" w:rsidP="00C02A33">
      <w:pPr>
        <w:pStyle w:val="affffb"/>
        <w:ind w:firstLine="420"/>
        <w:rPr>
          <w:kern w:val="2"/>
          <w:szCs w:val="21"/>
        </w:rPr>
      </w:pPr>
      <w:r>
        <w:rPr>
          <w:rFonts w:hint="eastAsia"/>
        </w:rPr>
        <w:t>达到设计使用年限或未规定设计使用年限，但实际使用超过20年的电站热力系统压力容器。</w:t>
      </w:r>
    </w:p>
    <w:p w:rsidR="004B3E93" w:rsidRDefault="00C02A33" w:rsidP="00C02A33">
      <w:pPr>
        <w:pStyle w:val="affffb"/>
        <w:ind w:firstLine="420"/>
      </w:pPr>
      <w:r>
        <w:rPr>
          <w:rFonts w:hint="eastAsia"/>
        </w:rPr>
        <w:t>[来源：T</w:t>
      </w:r>
      <w:r>
        <w:t>SG 21-2016</w:t>
      </w:r>
      <w:r>
        <w:rPr>
          <w:rFonts w:hint="eastAsia"/>
        </w:rPr>
        <w:t>，</w:t>
      </w:r>
      <w:r>
        <w:t>7.1.7</w:t>
      </w:r>
      <w:r>
        <w:rPr>
          <w:rFonts w:hint="eastAsia"/>
        </w:rPr>
        <w:t>，有修改]</w:t>
      </w:r>
    </w:p>
    <w:p w:rsidR="00C02A33" w:rsidRDefault="00C02A33" w:rsidP="00C02A33">
      <w:pPr>
        <w:pStyle w:val="affc"/>
        <w:spacing w:before="312" w:after="312"/>
      </w:pPr>
      <w:bookmarkStart w:id="51" w:name="_Toc145925179"/>
      <w:bookmarkStart w:id="52" w:name="_Toc145925230"/>
      <w:r>
        <w:rPr>
          <w:rFonts w:hint="eastAsia"/>
        </w:rPr>
        <w:lastRenderedPageBreak/>
        <w:t>总则</w:t>
      </w:r>
      <w:bookmarkEnd w:id="51"/>
      <w:bookmarkEnd w:id="52"/>
    </w:p>
    <w:p w:rsidR="00C02A33" w:rsidRDefault="00C02A33" w:rsidP="00C02A33">
      <w:pPr>
        <w:pStyle w:val="affd"/>
        <w:spacing w:before="156" w:after="156"/>
      </w:pPr>
      <w:bookmarkStart w:id="53" w:name="_Toc145925180"/>
      <w:r>
        <w:rPr>
          <w:rFonts w:hint="eastAsia"/>
        </w:rPr>
        <w:t>基本原则</w:t>
      </w:r>
      <w:bookmarkEnd w:id="53"/>
    </w:p>
    <w:p w:rsidR="00C02A33" w:rsidRDefault="00C02A33" w:rsidP="00C02A33">
      <w:pPr>
        <w:pStyle w:val="affffb"/>
        <w:ind w:firstLine="420"/>
      </w:pPr>
      <w:r>
        <w:rPr>
          <w:rFonts w:hint="eastAsia"/>
        </w:rPr>
        <w:t>超设计使用年限电站热力系统压力容器的安全评估应以损伤模式识别为基础，按本文件规定的技术要求进行。</w:t>
      </w:r>
    </w:p>
    <w:p w:rsidR="00C02A33" w:rsidRDefault="00C02A33" w:rsidP="00C02A33">
      <w:pPr>
        <w:pStyle w:val="affd"/>
        <w:spacing w:before="156" w:after="156"/>
      </w:pPr>
      <w:bookmarkStart w:id="54" w:name="_Toc145925181"/>
      <w:r>
        <w:rPr>
          <w:rFonts w:hint="eastAsia"/>
        </w:rPr>
        <w:t>专项要求</w:t>
      </w:r>
      <w:bookmarkEnd w:id="54"/>
    </w:p>
    <w:p w:rsidR="00C02A33" w:rsidRDefault="00C02A33" w:rsidP="00C02A33">
      <w:pPr>
        <w:pStyle w:val="affe"/>
        <w:spacing w:before="156" w:after="156"/>
        <w:rPr>
          <w:rFonts w:ascii="宋体" w:hAnsi="宋体"/>
          <w:szCs w:val="21"/>
        </w:rPr>
      </w:pPr>
      <w:r>
        <w:rPr>
          <w:rFonts w:hint="eastAsia"/>
        </w:rPr>
        <w:t>评估机构和评估人员</w:t>
      </w:r>
    </w:p>
    <w:p w:rsidR="00C02A33" w:rsidRDefault="00C02A33" w:rsidP="00C02A33">
      <w:pPr>
        <w:pStyle w:val="af5"/>
        <w:rPr>
          <w:szCs w:val="21"/>
        </w:rPr>
      </w:pPr>
      <w:r>
        <w:rPr>
          <w:rFonts w:hint="eastAsia"/>
        </w:rPr>
        <w:t>评估机构应具有失效分析或风险分析经历，并且具备按本文件实施评估的人员和设备的能力；</w:t>
      </w:r>
    </w:p>
    <w:p w:rsidR="00C02A33" w:rsidRDefault="00C02A33" w:rsidP="00C02A33">
      <w:pPr>
        <w:pStyle w:val="af5"/>
      </w:pPr>
      <w:r>
        <w:rPr>
          <w:rFonts w:hint="eastAsia"/>
        </w:rPr>
        <w:t>评估机构应在其质量体系中规定符合本文件要求的程序性文件，并有效实施；</w:t>
      </w:r>
    </w:p>
    <w:p w:rsidR="00C02A33" w:rsidRDefault="00C02A33" w:rsidP="00C02A33">
      <w:pPr>
        <w:pStyle w:val="af5"/>
      </w:pPr>
      <w:r>
        <w:rPr>
          <w:rFonts w:hint="eastAsia"/>
        </w:rPr>
        <w:t>评估机构应对其评估结论的真实性、准确性、有效性负责。</w:t>
      </w:r>
    </w:p>
    <w:p w:rsidR="00C02A33" w:rsidRDefault="00C02A33" w:rsidP="00C02A33">
      <w:pPr>
        <w:pStyle w:val="af5"/>
      </w:pPr>
      <w:r>
        <w:rPr>
          <w:rFonts w:hint="eastAsia"/>
        </w:rPr>
        <w:t>评估人员应具备设计、材料、腐蚀、工艺、检验等相关知识和工程经验，并经过与本文件相关的技术培训，能够充分理解本文件的技术内容和应用准则；</w:t>
      </w:r>
    </w:p>
    <w:p w:rsidR="00C02A33" w:rsidRDefault="00C02A33" w:rsidP="00C02A33">
      <w:pPr>
        <w:pStyle w:val="af5"/>
      </w:pPr>
      <w:r>
        <w:rPr>
          <w:rFonts w:hint="eastAsia"/>
        </w:rPr>
        <w:t>评估人员按照本文件的要求，收集资料并确定电站热力系统压力容器的实际状态，识别其损伤模式并分析发展趋势，提出评估结论及建议，出具评估报告；</w:t>
      </w:r>
    </w:p>
    <w:p w:rsidR="00C02A33" w:rsidRDefault="00C02A33" w:rsidP="00C02A33">
      <w:pPr>
        <w:pStyle w:val="af5"/>
      </w:pPr>
      <w:r>
        <w:rPr>
          <w:rFonts w:hint="eastAsia"/>
        </w:rPr>
        <w:t>评估人员对使用单位提供的资料保密。</w:t>
      </w:r>
    </w:p>
    <w:p w:rsidR="00C02A33" w:rsidRDefault="00C02A33" w:rsidP="00C02A33">
      <w:pPr>
        <w:pStyle w:val="affe"/>
        <w:spacing w:before="156" w:after="156"/>
      </w:pPr>
      <w:r>
        <w:rPr>
          <w:rFonts w:hint="eastAsia"/>
        </w:rPr>
        <w:t>使用单位</w:t>
      </w:r>
    </w:p>
    <w:p w:rsidR="00C02A33" w:rsidRPr="00C02A33" w:rsidRDefault="00C02A33" w:rsidP="00465055">
      <w:pPr>
        <w:pStyle w:val="af5"/>
        <w:numPr>
          <w:ilvl w:val="0"/>
          <w:numId w:val="32"/>
        </w:numPr>
        <w:rPr>
          <w:szCs w:val="21"/>
        </w:rPr>
      </w:pPr>
      <w:r>
        <w:rPr>
          <w:rFonts w:hint="eastAsia"/>
        </w:rPr>
        <w:t>使用单位应在电站热力系统压力容器达到设计使用年限6个月前完成安全评估，确保安全评估在定期检验有效期内完成；</w:t>
      </w:r>
    </w:p>
    <w:p w:rsidR="00C02A33" w:rsidRDefault="00C02A33" w:rsidP="00C02A33">
      <w:pPr>
        <w:pStyle w:val="af5"/>
      </w:pPr>
      <w:r>
        <w:rPr>
          <w:rFonts w:hint="eastAsia"/>
        </w:rPr>
        <w:t>实施安全评估前，使用单位应提供评估所需要的各项资料，包括电站热力系统压力容器的设计资料、制造（安装）资料、修理改造资料、检验资料、运行记录、历史失效记录以及相关装置的工艺技术资料等，并对所提供资料的完整性、真实性和有效性负责；</w:t>
      </w:r>
    </w:p>
    <w:p w:rsidR="00C02A33" w:rsidRDefault="00C02A33" w:rsidP="00C02A33">
      <w:pPr>
        <w:pStyle w:val="af5"/>
      </w:pPr>
      <w:r>
        <w:rPr>
          <w:rFonts w:hint="eastAsia"/>
        </w:rPr>
        <w:t>超设计使用年限电站热力系统压力容器的使用管理，除满足本文件的要求外，还应同时遵守国家法律、法规的要求；</w:t>
      </w:r>
    </w:p>
    <w:p w:rsidR="00C02A33" w:rsidRDefault="00C02A33" w:rsidP="00C02A33">
      <w:pPr>
        <w:pStyle w:val="af5"/>
      </w:pPr>
      <w:r>
        <w:rPr>
          <w:rFonts w:hint="eastAsia"/>
        </w:rPr>
        <w:t>对于超设计使用年限后仍继续使用的电站热力系统压力容器，使用单位应加强日常维护和管理，严格执行工艺操作规程。</w:t>
      </w:r>
    </w:p>
    <w:p w:rsidR="00C02A33" w:rsidRDefault="00C02A33" w:rsidP="00C02A33">
      <w:pPr>
        <w:pStyle w:val="affc"/>
        <w:spacing w:before="312" w:after="312"/>
      </w:pPr>
      <w:bookmarkStart w:id="55" w:name="_Toc145925182"/>
      <w:bookmarkStart w:id="56" w:name="_Toc145925231"/>
      <w:r>
        <w:rPr>
          <w:rFonts w:hint="eastAsia"/>
        </w:rPr>
        <w:t>评估程序</w:t>
      </w:r>
      <w:bookmarkEnd w:id="55"/>
      <w:bookmarkEnd w:id="56"/>
    </w:p>
    <w:p w:rsidR="00C02A33" w:rsidRDefault="00C02A33" w:rsidP="00C02A33">
      <w:pPr>
        <w:pStyle w:val="affffb"/>
        <w:ind w:firstLine="420"/>
        <w:rPr>
          <w:szCs w:val="21"/>
        </w:rPr>
      </w:pPr>
      <w:r>
        <w:rPr>
          <w:rFonts w:hint="eastAsia"/>
        </w:rPr>
        <w:t>超设计使用年限电站热力系统压力容器的安全评估程序包括：</w:t>
      </w:r>
    </w:p>
    <w:p w:rsidR="00C02A33" w:rsidRPr="00C02A33" w:rsidRDefault="00C02A33" w:rsidP="00465055">
      <w:pPr>
        <w:pStyle w:val="af5"/>
        <w:numPr>
          <w:ilvl w:val="0"/>
          <w:numId w:val="33"/>
        </w:numPr>
        <w:rPr>
          <w:szCs w:val="21"/>
        </w:rPr>
      </w:pPr>
      <w:r>
        <w:rPr>
          <w:rFonts w:hint="eastAsia"/>
        </w:rPr>
        <w:t>资料审查；</w:t>
      </w:r>
    </w:p>
    <w:p w:rsidR="00C02A33" w:rsidRDefault="00C02A33" w:rsidP="00465055">
      <w:pPr>
        <w:pStyle w:val="af5"/>
        <w:numPr>
          <w:ilvl w:val="0"/>
          <w:numId w:val="33"/>
        </w:numPr>
      </w:pPr>
      <w:r>
        <w:rPr>
          <w:rFonts w:hint="eastAsia"/>
        </w:rPr>
        <w:t>损伤模式识别；</w:t>
      </w:r>
    </w:p>
    <w:p w:rsidR="00C02A33" w:rsidRDefault="00C02A33" w:rsidP="00465055">
      <w:pPr>
        <w:pStyle w:val="af5"/>
        <w:numPr>
          <w:ilvl w:val="0"/>
          <w:numId w:val="33"/>
        </w:numPr>
      </w:pPr>
      <w:r>
        <w:rPr>
          <w:rFonts w:hint="eastAsia"/>
        </w:rPr>
        <w:t>损伤评估和超设计使用年限电站热力系统压力容器的归类；</w:t>
      </w:r>
    </w:p>
    <w:p w:rsidR="00C02A33" w:rsidRDefault="00C02A33" w:rsidP="00465055">
      <w:pPr>
        <w:pStyle w:val="af5"/>
        <w:numPr>
          <w:ilvl w:val="0"/>
          <w:numId w:val="33"/>
        </w:numPr>
      </w:pPr>
      <w:r>
        <w:rPr>
          <w:rFonts w:hint="eastAsia"/>
        </w:rPr>
        <w:t>评估结论。</w:t>
      </w:r>
    </w:p>
    <w:p w:rsidR="00C02A33" w:rsidRDefault="00C02A33" w:rsidP="00C02A33">
      <w:pPr>
        <w:pStyle w:val="affc"/>
        <w:spacing w:before="312" w:after="312"/>
      </w:pPr>
      <w:bookmarkStart w:id="57" w:name="_Toc145925183"/>
      <w:bookmarkStart w:id="58" w:name="_Toc145925232"/>
      <w:r>
        <w:rPr>
          <w:rFonts w:hint="eastAsia"/>
        </w:rPr>
        <w:t>评估步骤</w:t>
      </w:r>
      <w:bookmarkEnd w:id="57"/>
      <w:bookmarkEnd w:id="58"/>
    </w:p>
    <w:p w:rsidR="00C02A33" w:rsidRDefault="00C02A33" w:rsidP="00C02A33">
      <w:pPr>
        <w:pStyle w:val="affd"/>
        <w:spacing w:before="156" w:after="156"/>
        <w:rPr>
          <w:kern w:val="2"/>
          <w:szCs w:val="21"/>
        </w:rPr>
      </w:pPr>
      <w:bookmarkStart w:id="59" w:name="_Toc145925184"/>
      <w:r>
        <w:rPr>
          <w:rFonts w:hint="eastAsia"/>
        </w:rPr>
        <w:lastRenderedPageBreak/>
        <w:t>资料审查</w:t>
      </w:r>
      <w:bookmarkEnd w:id="59"/>
    </w:p>
    <w:p w:rsidR="00C02A33" w:rsidRDefault="00C02A33" w:rsidP="00C02A33">
      <w:pPr>
        <w:pStyle w:val="afffffffff1"/>
        <w:rPr>
          <w:szCs w:val="21"/>
        </w:rPr>
      </w:pPr>
      <w:r>
        <w:rPr>
          <w:rFonts w:hint="eastAsia"/>
        </w:rPr>
        <w:t>超设计使用年限电站</w:t>
      </w:r>
      <w:r w:rsidR="007921F5">
        <w:rPr>
          <w:rFonts w:hint="eastAsia"/>
        </w:rPr>
        <w:t>热力系统压力容器安全评估前，评估人员应对其设计、建造、运行和检</w:t>
      </w:r>
      <w:r>
        <w:rPr>
          <w:rFonts w:hint="eastAsia"/>
        </w:rPr>
        <w:t>修等资料进行收集和调查。</w:t>
      </w:r>
    </w:p>
    <w:p w:rsidR="00C02A33" w:rsidRDefault="00C02A33" w:rsidP="00C02A33">
      <w:pPr>
        <w:pStyle w:val="afffffffff0"/>
        <w:rPr>
          <w:szCs w:val="21"/>
        </w:rPr>
      </w:pPr>
      <w:r>
        <w:rPr>
          <w:rFonts w:hint="eastAsia"/>
        </w:rPr>
        <w:t>设计、制造（安装）、修理改造和运行资料，包括：</w:t>
      </w:r>
    </w:p>
    <w:p w:rsidR="00C02A33" w:rsidRPr="00C02A33" w:rsidRDefault="00C02A33" w:rsidP="00465055">
      <w:pPr>
        <w:pStyle w:val="af5"/>
        <w:numPr>
          <w:ilvl w:val="0"/>
          <w:numId w:val="34"/>
        </w:numPr>
        <w:rPr>
          <w:szCs w:val="21"/>
        </w:rPr>
      </w:pPr>
      <w:r>
        <w:rPr>
          <w:rFonts w:hint="eastAsia"/>
        </w:rPr>
        <w:t>设计图样、强度计算书和使用说明书等；</w:t>
      </w:r>
    </w:p>
    <w:p w:rsidR="00C02A33" w:rsidRDefault="00C02A33" w:rsidP="00C02A33">
      <w:pPr>
        <w:pStyle w:val="af5"/>
      </w:pPr>
      <w:r>
        <w:rPr>
          <w:rFonts w:hint="eastAsia"/>
        </w:rPr>
        <w:t>质量证明书，竣工图等；</w:t>
      </w:r>
    </w:p>
    <w:p w:rsidR="00C02A33" w:rsidRDefault="00C02A33" w:rsidP="00C02A33">
      <w:pPr>
        <w:pStyle w:val="af5"/>
      </w:pPr>
      <w:r>
        <w:rPr>
          <w:rFonts w:hint="eastAsia"/>
        </w:rPr>
        <w:t>安装资料；</w:t>
      </w:r>
    </w:p>
    <w:p w:rsidR="00C02A33" w:rsidRDefault="00C02A33" w:rsidP="00C02A33">
      <w:pPr>
        <w:pStyle w:val="af5"/>
      </w:pPr>
      <w:r>
        <w:rPr>
          <w:rFonts w:hint="eastAsia"/>
        </w:rPr>
        <w:t>改造和维修资料；</w:t>
      </w:r>
    </w:p>
    <w:p w:rsidR="00C02A33" w:rsidRDefault="00C02A33" w:rsidP="00C02A33">
      <w:pPr>
        <w:pStyle w:val="af5"/>
      </w:pPr>
      <w:r>
        <w:rPr>
          <w:rFonts w:hint="eastAsia"/>
        </w:rPr>
        <w:t>运行记录，重点关注异常工况。</w:t>
      </w:r>
    </w:p>
    <w:p w:rsidR="00C02A33" w:rsidRDefault="00C02A33" w:rsidP="00C02A33">
      <w:pPr>
        <w:pStyle w:val="afffffffff0"/>
        <w:rPr>
          <w:kern w:val="2"/>
          <w:szCs w:val="21"/>
        </w:rPr>
      </w:pPr>
      <w:r>
        <w:t>检验、检测</w:t>
      </w:r>
      <w:r>
        <w:rPr>
          <w:rFonts w:hint="eastAsia"/>
        </w:rPr>
        <w:t>和维护</w:t>
      </w:r>
      <w:r>
        <w:t>资料，包括：</w:t>
      </w:r>
    </w:p>
    <w:p w:rsidR="00C02A33" w:rsidRPr="00C02A33" w:rsidRDefault="00C02A33" w:rsidP="00465055">
      <w:pPr>
        <w:pStyle w:val="af5"/>
        <w:numPr>
          <w:ilvl w:val="0"/>
          <w:numId w:val="35"/>
        </w:numPr>
        <w:rPr>
          <w:szCs w:val="21"/>
        </w:rPr>
      </w:pPr>
      <w:r>
        <w:rPr>
          <w:rFonts w:hint="eastAsia"/>
        </w:rPr>
        <w:t>使用登记证、特种设备使用登记表等注册登记资料；</w:t>
      </w:r>
    </w:p>
    <w:p w:rsidR="00C02A33" w:rsidRDefault="00C02A33" w:rsidP="00C02A33">
      <w:pPr>
        <w:pStyle w:val="af5"/>
      </w:pPr>
      <w:r>
        <w:rPr>
          <w:rFonts w:hint="eastAsia"/>
        </w:rPr>
        <w:t>近3次定期检验报告；</w:t>
      </w:r>
    </w:p>
    <w:p w:rsidR="00C02A33" w:rsidRDefault="00C02A33" w:rsidP="00C02A33">
      <w:pPr>
        <w:pStyle w:val="af5"/>
      </w:pPr>
      <w:r>
        <w:rPr>
          <w:rFonts w:hint="eastAsia"/>
        </w:rPr>
        <w:t>风险评估报告；</w:t>
      </w:r>
    </w:p>
    <w:p w:rsidR="00C02A33" w:rsidRDefault="00C02A33" w:rsidP="00C02A33">
      <w:pPr>
        <w:pStyle w:val="af5"/>
      </w:pPr>
      <w:r>
        <w:rPr>
          <w:rFonts w:hint="eastAsia"/>
        </w:rPr>
        <w:t>检修计划、检修总结。</w:t>
      </w:r>
    </w:p>
    <w:p w:rsidR="00C02A33" w:rsidRDefault="00C02A33" w:rsidP="00C02A33">
      <w:pPr>
        <w:pStyle w:val="afffffffff0"/>
        <w:rPr>
          <w:kern w:val="2"/>
          <w:szCs w:val="21"/>
        </w:rPr>
      </w:pPr>
      <w:r>
        <w:t>历史损伤、失效相关资料，包括：</w:t>
      </w:r>
    </w:p>
    <w:p w:rsidR="00C02A33" w:rsidRPr="00C02A33" w:rsidRDefault="00C02A33" w:rsidP="00465055">
      <w:pPr>
        <w:pStyle w:val="af5"/>
        <w:numPr>
          <w:ilvl w:val="0"/>
          <w:numId w:val="36"/>
        </w:numPr>
        <w:rPr>
          <w:szCs w:val="21"/>
        </w:rPr>
      </w:pPr>
      <w:r>
        <w:rPr>
          <w:rFonts w:hint="eastAsia"/>
        </w:rPr>
        <w:t>该台容器的历史损伤、失效记录；</w:t>
      </w:r>
    </w:p>
    <w:p w:rsidR="00C02A33" w:rsidRDefault="00C02A33" w:rsidP="00C02A33">
      <w:pPr>
        <w:pStyle w:val="af5"/>
      </w:pPr>
      <w:r>
        <w:rPr>
          <w:rFonts w:hint="eastAsia"/>
        </w:rPr>
        <w:t>同类容器的失效案例及其失效原因分析报告。</w:t>
      </w:r>
    </w:p>
    <w:p w:rsidR="00C02A33" w:rsidRDefault="00C02A33" w:rsidP="00C02A33">
      <w:pPr>
        <w:pStyle w:val="afffffffff1"/>
        <w:rPr>
          <w:szCs w:val="21"/>
        </w:rPr>
      </w:pPr>
      <w:r>
        <w:rPr>
          <w:rFonts w:hint="eastAsia"/>
        </w:rPr>
        <w:t>评估人员应重点关注电站热力系统压力容器设计使用条件和实际使用条件的差异，如设计腐蚀裕量与实际腐蚀情况、设计温度和压力与实际运行温度和压力的差异以及严重损伤历史及其原因分析等。</w:t>
      </w:r>
    </w:p>
    <w:p w:rsidR="00C02A33" w:rsidRDefault="00C02A33" w:rsidP="00C02A33">
      <w:pPr>
        <w:pStyle w:val="affd"/>
        <w:spacing w:before="156" w:after="156"/>
        <w:rPr>
          <w:kern w:val="2"/>
          <w:szCs w:val="21"/>
        </w:rPr>
      </w:pPr>
      <w:bookmarkStart w:id="60" w:name="_Toc145925185"/>
      <w:r>
        <w:rPr>
          <w:rFonts w:hint="eastAsia"/>
        </w:rPr>
        <w:t>损伤模式识别</w:t>
      </w:r>
      <w:bookmarkEnd w:id="60"/>
    </w:p>
    <w:p w:rsidR="00C02A33" w:rsidRDefault="00C02A33" w:rsidP="00C02A33">
      <w:pPr>
        <w:pStyle w:val="afffffffff1"/>
        <w:rPr>
          <w:kern w:val="2"/>
          <w:szCs w:val="21"/>
        </w:rPr>
      </w:pPr>
      <w:r>
        <w:t>实施</w:t>
      </w:r>
      <w:r>
        <w:rPr>
          <w:rFonts w:hint="eastAsia"/>
        </w:rPr>
        <w:t>安全评估</w:t>
      </w:r>
      <w:r>
        <w:t>前，</w:t>
      </w:r>
      <w:r>
        <w:rPr>
          <w:rFonts w:hint="eastAsia"/>
        </w:rPr>
        <w:t>评估人员</w:t>
      </w:r>
      <w:r>
        <w:t>应进行损伤模式识别</w:t>
      </w:r>
      <w:r>
        <w:rPr>
          <w:rFonts w:hint="eastAsia"/>
        </w:rPr>
        <w:t>。</w:t>
      </w:r>
    </w:p>
    <w:p w:rsidR="00C02A33" w:rsidRDefault="00C02A33" w:rsidP="00C02A33">
      <w:pPr>
        <w:pStyle w:val="afffffffff0"/>
        <w:rPr>
          <w:szCs w:val="21"/>
        </w:rPr>
      </w:pPr>
      <w:r>
        <w:rPr>
          <w:rFonts w:hint="eastAsia"/>
        </w:rPr>
        <w:t>评估人员应根据电站热力系统压力容器的设计条件和使用情况，按照GB/T 30579或GB/T 26610 的规定进行损伤模式识别。</w:t>
      </w:r>
    </w:p>
    <w:p w:rsidR="00C02A33" w:rsidRPr="00C02A33" w:rsidRDefault="00C02A33" w:rsidP="00C02A33">
      <w:pPr>
        <w:pStyle w:val="afffffffff0"/>
        <w:rPr>
          <w:szCs w:val="21"/>
        </w:rPr>
      </w:pPr>
      <w:r>
        <w:rPr>
          <w:rFonts w:hint="eastAsia"/>
        </w:rPr>
        <w:t>典型的损伤模式（有关损伤模式的定义、分类、影响因素和损伤形态依据GB/T 30579的规定），见表1。</w:t>
      </w:r>
    </w:p>
    <w:p w:rsidR="00C02A33" w:rsidRDefault="00334F39" w:rsidP="00C02A33">
      <w:pPr>
        <w:pStyle w:val="aff2"/>
        <w:spacing w:before="156" w:after="156"/>
      </w:pPr>
      <w:r>
        <w:rPr>
          <w:rFonts w:hint="eastAsia"/>
        </w:rPr>
        <w:t>典型的损伤模式</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3969"/>
        <w:gridCol w:w="3686"/>
        <w:gridCol w:w="980"/>
      </w:tblGrid>
      <w:tr w:rsidR="00334F39" w:rsidTr="00334F39">
        <w:trPr>
          <w:tblHeader/>
          <w:jc w:val="center"/>
        </w:trPr>
        <w:tc>
          <w:tcPr>
            <w:tcW w:w="699" w:type="dxa"/>
            <w:tcBorders>
              <w:top w:val="single" w:sz="8" w:space="0" w:color="auto"/>
              <w:bottom w:val="single" w:sz="8" w:space="0" w:color="auto"/>
            </w:tcBorders>
            <w:shd w:val="clear" w:color="auto" w:fill="auto"/>
            <w:vAlign w:val="center"/>
          </w:tcPr>
          <w:p w:rsidR="00334F39" w:rsidRDefault="00334F39" w:rsidP="00334F39">
            <w:pPr>
              <w:pStyle w:val="afffffffff9"/>
            </w:pPr>
            <w:r>
              <w:rPr>
                <w:rFonts w:hint="eastAsia"/>
              </w:rPr>
              <w:t>序号</w:t>
            </w:r>
          </w:p>
        </w:tc>
        <w:tc>
          <w:tcPr>
            <w:tcW w:w="3969" w:type="dxa"/>
            <w:tcBorders>
              <w:top w:val="single" w:sz="8" w:space="0" w:color="auto"/>
              <w:bottom w:val="single" w:sz="8" w:space="0" w:color="auto"/>
            </w:tcBorders>
            <w:shd w:val="clear" w:color="auto" w:fill="auto"/>
            <w:vAlign w:val="center"/>
          </w:tcPr>
          <w:p w:rsidR="00334F39" w:rsidRDefault="00334F39" w:rsidP="00334F39">
            <w:pPr>
              <w:pStyle w:val="afffffffff9"/>
            </w:pPr>
            <w:r>
              <w:rPr>
                <w:rFonts w:hAnsi="宋体" w:hint="eastAsia"/>
                <w:color w:val="000000"/>
              </w:rPr>
              <w:t>损伤模式</w:t>
            </w:r>
          </w:p>
        </w:tc>
        <w:tc>
          <w:tcPr>
            <w:tcW w:w="3686" w:type="dxa"/>
            <w:tcBorders>
              <w:top w:val="single" w:sz="8" w:space="0" w:color="auto"/>
              <w:bottom w:val="single" w:sz="8" w:space="0" w:color="auto"/>
            </w:tcBorders>
            <w:shd w:val="clear" w:color="auto" w:fill="auto"/>
            <w:vAlign w:val="center"/>
          </w:tcPr>
          <w:p w:rsidR="00334F39" w:rsidRDefault="00334F39" w:rsidP="00334F39">
            <w:pPr>
              <w:pStyle w:val="afffffffff9"/>
            </w:pPr>
            <w:r>
              <w:rPr>
                <w:rFonts w:hAnsi="宋体" w:hint="eastAsia"/>
                <w:color w:val="000000"/>
              </w:rPr>
              <w:t>典型损伤形态</w:t>
            </w:r>
          </w:p>
        </w:tc>
        <w:tc>
          <w:tcPr>
            <w:tcW w:w="980" w:type="dxa"/>
            <w:tcBorders>
              <w:top w:val="single" w:sz="8" w:space="0" w:color="auto"/>
              <w:bottom w:val="single" w:sz="8" w:space="0" w:color="auto"/>
            </w:tcBorders>
            <w:shd w:val="clear" w:color="auto" w:fill="auto"/>
            <w:vAlign w:val="center"/>
          </w:tcPr>
          <w:p w:rsidR="00334F39" w:rsidRDefault="00334F39" w:rsidP="00334F39">
            <w:pPr>
              <w:pStyle w:val="afffffffff9"/>
            </w:pPr>
            <w:r>
              <w:rPr>
                <w:rFonts w:hAnsi="宋体" w:hint="eastAsia"/>
                <w:color w:val="000000"/>
              </w:rPr>
              <w:t>归类方法</w:t>
            </w:r>
          </w:p>
        </w:tc>
      </w:tr>
      <w:tr w:rsidR="00334F39" w:rsidTr="00334F39">
        <w:trPr>
          <w:jc w:val="center"/>
        </w:trPr>
        <w:tc>
          <w:tcPr>
            <w:tcW w:w="699" w:type="dxa"/>
            <w:tcBorders>
              <w:top w:val="single" w:sz="8" w:space="0" w:color="auto"/>
            </w:tcBorders>
            <w:shd w:val="clear" w:color="auto" w:fill="auto"/>
            <w:vAlign w:val="center"/>
          </w:tcPr>
          <w:p w:rsidR="00334F39" w:rsidRDefault="00334F39" w:rsidP="00334F39">
            <w:pPr>
              <w:pStyle w:val="afffffffff9"/>
            </w:pPr>
            <w:r>
              <w:rPr>
                <w:rFonts w:hint="eastAsia"/>
              </w:rPr>
              <w:t>1</w:t>
            </w:r>
          </w:p>
        </w:tc>
        <w:tc>
          <w:tcPr>
            <w:tcW w:w="3969" w:type="dxa"/>
            <w:tcBorders>
              <w:top w:val="single" w:sz="8" w:space="0" w:color="auto"/>
            </w:tcBorders>
            <w:shd w:val="clear" w:color="auto" w:fill="auto"/>
            <w:vAlign w:val="center"/>
          </w:tcPr>
          <w:p w:rsidR="00334F39" w:rsidRDefault="00334F39" w:rsidP="00334F39">
            <w:pPr>
              <w:pStyle w:val="afffffffff9"/>
            </w:pPr>
            <w:r>
              <w:rPr>
                <w:rFonts w:hAnsi="宋体" w:hint="eastAsia"/>
                <w:color w:val="000000"/>
              </w:rPr>
              <w:t>冲刷、腐蚀减薄</w:t>
            </w:r>
          </w:p>
        </w:tc>
        <w:tc>
          <w:tcPr>
            <w:tcW w:w="3686" w:type="dxa"/>
            <w:tcBorders>
              <w:top w:val="single" w:sz="8" w:space="0" w:color="auto"/>
            </w:tcBorders>
            <w:shd w:val="clear" w:color="auto" w:fill="auto"/>
            <w:vAlign w:val="center"/>
          </w:tcPr>
          <w:p w:rsidR="00334F39" w:rsidRDefault="00334F39" w:rsidP="00334F39">
            <w:pPr>
              <w:pStyle w:val="afffffffff9"/>
            </w:pPr>
            <w:r>
              <w:rPr>
                <w:rFonts w:hAnsi="宋体" w:hint="eastAsia"/>
                <w:color w:val="000000"/>
              </w:rPr>
              <w:t>均匀减薄或局部减薄、分散的点腐蚀</w:t>
            </w:r>
          </w:p>
        </w:tc>
        <w:tc>
          <w:tcPr>
            <w:tcW w:w="980" w:type="dxa"/>
            <w:tcBorders>
              <w:top w:val="single" w:sz="8" w:space="0" w:color="auto"/>
            </w:tcBorders>
            <w:shd w:val="clear" w:color="auto" w:fill="auto"/>
            <w:vAlign w:val="center"/>
          </w:tcPr>
          <w:p w:rsidR="00334F39" w:rsidRDefault="00334F39" w:rsidP="00334F39">
            <w:pPr>
              <w:pStyle w:val="afffffffff9"/>
            </w:pPr>
            <w:r>
              <w:rPr>
                <w:rFonts w:hAnsi="宋体" w:hint="eastAsia"/>
                <w:color w:val="000000"/>
              </w:rPr>
              <w:t>6.3.2</w:t>
            </w:r>
          </w:p>
        </w:tc>
      </w:tr>
      <w:tr w:rsidR="00334F39" w:rsidTr="00334F39">
        <w:trPr>
          <w:jc w:val="center"/>
        </w:trPr>
        <w:tc>
          <w:tcPr>
            <w:tcW w:w="699" w:type="dxa"/>
            <w:shd w:val="clear" w:color="auto" w:fill="auto"/>
            <w:vAlign w:val="center"/>
          </w:tcPr>
          <w:p w:rsidR="00334F39" w:rsidRDefault="00334F39" w:rsidP="00334F39">
            <w:pPr>
              <w:pStyle w:val="afffffffff9"/>
            </w:pPr>
            <w:r>
              <w:rPr>
                <w:rFonts w:hint="eastAsia"/>
              </w:rPr>
              <w:t>2</w:t>
            </w:r>
          </w:p>
        </w:tc>
        <w:tc>
          <w:tcPr>
            <w:tcW w:w="3969" w:type="dxa"/>
            <w:shd w:val="clear" w:color="auto" w:fill="auto"/>
            <w:vAlign w:val="center"/>
          </w:tcPr>
          <w:p w:rsidR="00334F39" w:rsidRDefault="00334F39" w:rsidP="00334F39">
            <w:pPr>
              <w:pStyle w:val="afffffffff9"/>
            </w:pPr>
            <w:r>
              <w:rPr>
                <w:rFonts w:hAnsi="宋体" w:hint="eastAsia"/>
                <w:color w:val="000000"/>
              </w:rPr>
              <w:t>疲劳</w:t>
            </w:r>
          </w:p>
        </w:tc>
        <w:tc>
          <w:tcPr>
            <w:tcW w:w="3686" w:type="dxa"/>
            <w:shd w:val="clear" w:color="auto" w:fill="auto"/>
            <w:vAlign w:val="center"/>
          </w:tcPr>
          <w:p w:rsidR="00334F39" w:rsidRDefault="00334F39" w:rsidP="00334F39">
            <w:pPr>
              <w:pStyle w:val="afffffffff9"/>
            </w:pPr>
            <w:r>
              <w:rPr>
                <w:rFonts w:hAnsi="宋体" w:hint="eastAsia"/>
                <w:color w:val="000000"/>
              </w:rPr>
              <w:t>表面开裂、埋藏性缺陷扩展</w:t>
            </w:r>
          </w:p>
        </w:tc>
        <w:tc>
          <w:tcPr>
            <w:tcW w:w="980" w:type="dxa"/>
            <w:shd w:val="clear" w:color="auto" w:fill="auto"/>
            <w:vAlign w:val="center"/>
          </w:tcPr>
          <w:p w:rsidR="00334F39" w:rsidRDefault="00334F39" w:rsidP="00334F39">
            <w:pPr>
              <w:pStyle w:val="afffffffff9"/>
            </w:pPr>
            <w:r>
              <w:rPr>
                <w:rFonts w:hAnsi="宋体" w:hint="eastAsia"/>
                <w:color w:val="000000"/>
              </w:rPr>
              <w:t>6.3.3</w:t>
            </w:r>
          </w:p>
        </w:tc>
      </w:tr>
      <w:tr w:rsidR="00334F39" w:rsidTr="00334F39">
        <w:trPr>
          <w:jc w:val="center"/>
        </w:trPr>
        <w:tc>
          <w:tcPr>
            <w:tcW w:w="699" w:type="dxa"/>
            <w:shd w:val="clear" w:color="auto" w:fill="auto"/>
            <w:vAlign w:val="center"/>
          </w:tcPr>
          <w:p w:rsidR="00334F39" w:rsidRDefault="00334F39" w:rsidP="00334F39">
            <w:pPr>
              <w:pStyle w:val="afffffffff9"/>
            </w:pPr>
            <w:r>
              <w:rPr>
                <w:rFonts w:hint="eastAsia"/>
              </w:rPr>
              <w:t>3</w:t>
            </w:r>
          </w:p>
        </w:tc>
        <w:tc>
          <w:tcPr>
            <w:tcW w:w="3969" w:type="dxa"/>
            <w:shd w:val="clear" w:color="auto" w:fill="auto"/>
            <w:vAlign w:val="center"/>
          </w:tcPr>
          <w:p w:rsidR="00334F39" w:rsidRDefault="00334F39" w:rsidP="00334F39">
            <w:pPr>
              <w:pStyle w:val="afffffffff9"/>
            </w:pPr>
            <w:r>
              <w:rPr>
                <w:rFonts w:hAnsi="宋体" w:hint="eastAsia"/>
                <w:color w:val="000000"/>
              </w:rPr>
              <w:t>蠕变</w:t>
            </w:r>
          </w:p>
        </w:tc>
        <w:tc>
          <w:tcPr>
            <w:tcW w:w="3686" w:type="dxa"/>
            <w:shd w:val="clear" w:color="auto" w:fill="auto"/>
            <w:vAlign w:val="center"/>
          </w:tcPr>
          <w:p w:rsidR="00334F39" w:rsidRDefault="00334F39" w:rsidP="00334F39">
            <w:pPr>
              <w:pStyle w:val="afffffffff9"/>
            </w:pPr>
            <w:r>
              <w:rPr>
                <w:rFonts w:hAnsi="宋体" w:hint="eastAsia"/>
                <w:color w:val="000000"/>
              </w:rPr>
              <w:t>金相组织变化、孔洞、裂纹、几何尺寸变化</w:t>
            </w:r>
          </w:p>
        </w:tc>
        <w:tc>
          <w:tcPr>
            <w:tcW w:w="980" w:type="dxa"/>
            <w:shd w:val="clear" w:color="auto" w:fill="auto"/>
            <w:vAlign w:val="center"/>
          </w:tcPr>
          <w:p w:rsidR="00334F39" w:rsidRDefault="00334F39" w:rsidP="00334F39">
            <w:pPr>
              <w:pStyle w:val="afffffffff9"/>
            </w:pPr>
            <w:r>
              <w:rPr>
                <w:rFonts w:hAnsi="宋体" w:hint="eastAsia"/>
                <w:color w:val="000000"/>
              </w:rPr>
              <w:t>6.3.4</w:t>
            </w:r>
          </w:p>
        </w:tc>
      </w:tr>
      <w:tr w:rsidR="00334F39" w:rsidTr="00334F39">
        <w:trPr>
          <w:jc w:val="center"/>
        </w:trPr>
        <w:tc>
          <w:tcPr>
            <w:tcW w:w="699" w:type="dxa"/>
            <w:shd w:val="clear" w:color="auto" w:fill="auto"/>
            <w:vAlign w:val="center"/>
          </w:tcPr>
          <w:p w:rsidR="00334F39" w:rsidRDefault="00334F39" w:rsidP="00334F39">
            <w:pPr>
              <w:pStyle w:val="afffffffff9"/>
            </w:pPr>
            <w:r>
              <w:rPr>
                <w:rFonts w:hint="eastAsia"/>
              </w:rPr>
              <w:t>4</w:t>
            </w:r>
          </w:p>
        </w:tc>
        <w:tc>
          <w:tcPr>
            <w:tcW w:w="3969" w:type="dxa"/>
            <w:shd w:val="clear" w:color="auto" w:fill="auto"/>
            <w:vAlign w:val="center"/>
          </w:tcPr>
          <w:p w:rsidR="00334F39" w:rsidRDefault="00334F39" w:rsidP="00334F39">
            <w:pPr>
              <w:pStyle w:val="afffffffff9"/>
            </w:pPr>
            <w:r>
              <w:rPr>
                <w:rFonts w:hAnsi="宋体" w:hint="eastAsia"/>
                <w:color w:val="000000"/>
              </w:rPr>
              <w:t>材料高温性能劣化（球化、石墨化）</w:t>
            </w:r>
          </w:p>
        </w:tc>
        <w:tc>
          <w:tcPr>
            <w:tcW w:w="3686" w:type="dxa"/>
            <w:shd w:val="clear" w:color="auto" w:fill="auto"/>
            <w:vAlign w:val="center"/>
          </w:tcPr>
          <w:p w:rsidR="00334F39" w:rsidRDefault="00334F39" w:rsidP="00334F39">
            <w:pPr>
              <w:pStyle w:val="afffffffff9"/>
            </w:pPr>
            <w:r>
              <w:rPr>
                <w:rFonts w:hAnsi="宋体" w:hint="eastAsia"/>
                <w:color w:val="000000"/>
              </w:rPr>
              <w:t>金相组织变化、力学性能变化、裂纹</w:t>
            </w:r>
          </w:p>
        </w:tc>
        <w:tc>
          <w:tcPr>
            <w:tcW w:w="980" w:type="dxa"/>
            <w:shd w:val="clear" w:color="auto" w:fill="auto"/>
            <w:vAlign w:val="center"/>
          </w:tcPr>
          <w:p w:rsidR="00334F39" w:rsidRDefault="00334F39" w:rsidP="00334F39">
            <w:pPr>
              <w:pStyle w:val="afffffffff9"/>
            </w:pPr>
            <w:r>
              <w:rPr>
                <w:rFonts w:hAnsi="宋体" w:hint="eastAsia"/>
                <w:color w:val="000000"/>
              </w:rPr>
              <w:t>6.3.5</w:t>
            </w:r>
          </w:p>
        </w:tc>
      </w:tr>
    </w:tbl>
    <w:p w:rsidR="00334F39" w:rsidRDefault="00334F39" w:rsidP="00334F39">
      <w:pPr>
        <w:pStyle w:val="afffffffff0"/>
        <w:rPr>
          <w:kern w:val="2"/>
          <w:szCs w:val="21"/>
        </w:rPr>
      </w:pPr>
      <w:r>
        <w:t>对于未列</w:t>
      </w:r>
      <w:r>
        <w:rPr>
          <w:rFonts w:hint="eastAsia"/>
        </w:rPr>
        <w:t>入</w:t>
      </w:r>
      <w:r>
        <w:t xml:space="preserve"> GB/T 30</w:t>
      </w:r>
      <w:r>
        <w:rPr>
          <w:rFonts w:hint="eastAsia"/>
        </w:rPr>
        <w:t>5</w:t>
      </w:r>
      <w:r>
        <w:t>79 的损伤模式，评估人员也可以采用以下方法进行补充判定：</w:t>
      </w:r>
    </w:p>
    <w:p w:rsidR="00334F39" w:rsidRPr="00334F39" w:rsidRDefault="00334F39" w:rsidP="00465055">
      <w:pPr>
        <w:pStyle w:val="af5"/>
        <w:numPr>
          <w:ilvl w:val="0"/>
          <w:numId w:val="37"/>
        </w:numPr>
        <w:rPr>
          <w:szCs w:val="21"/>
        </w:rPr>
      </w:pPr>
      <w:r>
        <w:rPr>
          <w:rFonts w:hint="eastAsia"/>
        </w:rPr>
        <w:t>依据其他的文献或标准；</w:t>
      </w:r>
    </w:p>
    <w:p w:rsidR="00334F39" w:rsidRDefault="00334F39" w:rsidP="00334F39">
      <w:pPr>
        <w:pStyle w:val="af5"/>
      </w:pPr>
      <w:r>
        <w:rPr>
          <w:rFonts w:hint="eastAsia"/>
        </w:rPr>
        <w:t>进行相关的试验研究。</w:t>
      </w:r>
    </w:p>
    <w:p w:rsidR="00334F39" w:rsidRDefault="00334F39" w:rsidP="00334F39">
      <w:pPr>
        <w:pStyle w:val="affd"/>
        <w:spacing w:before="156" w:after="156"/>
        <w:rPr>
          <w:kern w:val="2"/>
          <w:szCs w:val="21"/>
        </w:rPr>
      </w:pPr>
      <w:bookmarkStart w:id="61" w:name="_Toc145925186"/>
      <w:r>
        <w:rPr>
          <w:rFonts w:hint="eastAsia"/>
        </w:rPr>
        <w:t>损伤评估和超设计使用年限电站热力系统</w:t>
      </w:r>
      <w:r>
        <w:t>压力容器</w:t>
      </w:r>
      <w:r>
        <w:rPr>
          <w:rFonts w:hint="eastAsia"/>
        </w:rPr>
        <w:t>的</w:t>
      </w:r>
      <w:r>
        <w:t>归类</w:t>
      </w:r>
      <w:bookmarkEnd w:id="61"/>
    </w:p>
    <w:p w:rsidR="00334F39" w:rsidRDefault="00334F39" w:rsidP="00334F39">
      <w:pPr>
        <w:pStyle w:val="affe"/>
        <w:spacing w:before="156" w:after="156"/>
        <w:rPr>
          <w:kern w:val="2"/>
          <w:szCs w:val="21"/>
        </w:rPr>
      </w:pPr>
      <w:r>
        <w:rPr>
          <w:rFonts w:hint="eastAsia"/>
        </w:rPr>
        <w:lastRenderedPageBreak/>
        <w:t>一般原则</w:t>
      </w:r>
    </w:p>
    <w:p w:rsidR="00334F39" w:rsidRDefault="00334F39" w:rsidP="00334F39">
      <w:pPr>
        <w:pStyle w:val="afffffffff0"/>
        <w:rPr>
          <w:szCs w:val="21"/>
        </w:rPr>
      </w:pPr>
      <w:r>
        <w:rPr>
          <w:rFonts w:hint="eastAsia"/>
          <w:color w:val="000000"/>
        </w:rPr>
        <w:t>实施</w:t>
      </w:r>
      <w:r>
        <w:rPr>
          <w:rFonts w:hint="eastAsia"/>
        </w:rPr>
        <w:t>安全评估时，评估人员应按照已识别的损伤模式，对电站热力系统压力容器进行实际损伤评估。</w:t>
      </w:r>
    </w:p>
    <w:p w:rsidR="00334F39" w:rsidRDefault="00334F39" w:rsidP="00334F39">
      <w:pPr>
        <w:pStyle w:val="afffffffff0"/>
      </w:pPr>
      <w:r>
        <w:rPr>
          <w:rFonts w:hint="eastAsia"/>
        </w:rPr>
        <w:t>损伤评估应考虑电站热力系统压力容器建造质量状况，以及设计使用条件和实际运行条件的差异。</w:t>
      </w:r>
    </w:p>
    <w:p w:rsidR="00334F39" w:rsidRDefault="00334F39" w:rsidP="00334F39">
      <w:pPr>
        <w:pStyle w:val="afffffffff0"/>
      </w:pPr>
      <w:r>
        <w:rPr>
          <w:rFonts w:hint="eastAsia"/>
        </w:rPr>
        <w:t>当设计、建造、改造和修理等资料不齐全时，使用单位应补充、完善相关资料，以满足评估工作的需要；当使用单位不能提供评估所需要的足够资料时，应委托具有相应资质的机构，采用可靠的检查、检测和测量等手段补充相关数据。</w:t>
      </w:r>
    </w:p>
    <w:p w:rsidR="00334F39" w:rsidRDefault="00334F39" w:rsidP="00334F39">
      <w:pPr>
        <w:pStyle w:val="afffffffff0"/>
      </w:pPr>
      <w:r>
        <w:rPr>
          <w:rFonts w:hint="eastAsia"/>
        </w:rPr>
        <w:t>评估人员根据损伤与预期使用寿命的相关度对超设计使用年限电站热力系统压力容器进行归类。</w:t>
      </w:r>
    </w:p>
    <w:p w:rsidR="00334F39" w:rsidRDefault="00334F39" w:rsidP="00334F39">
      <w:pPr>
        <w:pStyle w:val="afffffffff0"/>
        <w:rPr>
          <w:szCs w:val="21"/>
        </w:rPr>
      </w:pPr>
      <w:r>
        <w:rPr>
          <w:rFonts w:hint="eastAsia"/>
        </w:rPr>
        <w:t>损伤与预期使用寿命的相关度按下列方法判定：</w:t>
      </w:r>
    </w:p>
    <w:p w:rsidR="00334F39" w:rsidRPr="00334F39" w:rsidRDefault="00334F39" w:rsidP="00465055">
      <w:pPr>
        <w:pStyle w:val="af5"/>
        <w:numPr>
          <w:ilvl w:val="0"/>
          <w:numId w:val="38"/>
        </w:numPr>
        <w:rPr>
          <w:szCs w:val="21"/>
        </w:rPr>
      </w:pPr>
      <w:r>
        <w:rPr>
          <w:rFonts w:hint="eastAsia"/>
        </w:rPr>
        <w:t>不存在与时间相关的损伤模式，或经过评估存在与时间相关的损伤模式，但在运行过程中损伤或劣化程度可以忽略，判定为损伤与预期使用寿命无关；</w:t>
      </w:r>
    </w:p>
    <w:p w:rsidR="00334F39" w:rsidRDefault="00334F39" w:rsidP="00334F39">
      <w:pPr>
        <w:pStyle w:val="af5"/>
      </w:pPr>
      <w:r>
        <w:rPr>
          <w:rFonts w:hint="eastAsia"/>
        </w:rPr>
        <w:t>存在与时间相关的损伤模式，在临近或超出设计使用年限后继续使用，经评估存在较低的失效可能性，判定为损伤与预期使用寿命低相关；</w:t>
      </w:r>
    </w:p>
    <w:p w:rsidR="00334F39" w:rsidRDefault="00334F39" w:rsidP="00334F39">
      <w:pPr>
        <w:pStyle w:val="af5"/>
      </w:pPr>
      <w:r>
        <w:rPr>
          <w:rFonts w:hint="eastAsia"/>
        </w:rPr>
        <w:t>存在与时间相关的损伤模式，在临近或超出设计使用年限后继续使用，经评估存在较高的失效可能性，判定为损伤与预期使用寿命高相关。</w:t>
      </w:r>
    </w:p>
    <w:p w:rsidR="002447AF" w:rsidRDefault="002447AF" w:rsidP="002447AF">
      <w:pPr>
        <w:pStyle w:val="af5"/>
        <w:rPr>
          <w:kern w:val="2"/>
          <w:szCs w:val="21"/>
        </w:rPr>
      </w:pPr>
      <w:r>
        <w:rPr>
          <w:rFonts w:hint="eastAsia"/>
        </w:rPr>
        <w:t>冲刷、腐蚀减薄</w:t>
      </w:r>
    </w:p>
    <w:p w:rsidR="002447AF" w:rsidRDefault="002447AF" w:rsidP="002447AF">
      <w:pPr>
        <w:pStyle w:val="affe"/>
        <w:spacing w:before="156" w:after="156"/>
        <w:rPr>
          <w:kern w:val="2"/>
          <w:szCs w:val="21"/>
        </w:rPr>
      </w:pPr>
      <w:r>
        <w:rPr>
          <w:rFonts w:hint="eastAsia"/>
        </w:rPr>
        <w:t>冲刷、腐蚀减薄</w:t>
      </w:r>
    </w:p>
    <w:p w:rsidR="002447AF" w:rsidRDefault="002447AF" w:rsidP="002447AF">
      <w:pPr>
        <w:pStyle w:val="afffffffff0"/>
        <w:rPr>
          <w:szCs w:val="21"/>
        </w:rPr>
      </w:pPr>
      <w:r>
        <w:rPr>
          <w:rFonts w:hint="eastAsia"/>
        </w:rPr>
        <w:t>对存在冲刷、腐蚀减薄损伤模式的电站热力系统压力容器，评估人员应根据工艺介质条件、宏观检验和壁厚测量的历史情况进行损伤评估。</w:t>
      </w:r>
    </w:p>
    <w:p w:rsidR="002447AF" w:rsidRDefault="002447AF" w:rsidP="002447AF">
      <w:pPr>
        <w:pStyle w:val="afffffffff0"/>
      </w:pPr>
      <w:r>
        <w:rPr>
          <w:rFonts w:hint="eastAsia"/>
        </w:rPr>
        <w:t>存在冲刷、腐蚀减薄损伤模式的电站热力系统压力容器按下列方法进行归类：</w:t>
      </w:r>
    </w:p>
    <w:p w:rsidR="002447AF" w:rsidRDefault="002447AF" w:rsidP="00465055">
      <w:pPr>
        <w:pStyle w:val="af5"/>
        <w:numPr>
          <w:ilvl w:val="0"/>
          <w:numId w:val="39"/>
        </w:numPr>
      </w:pPr>
      <w:r>
        <w:rPr>
          <w:rFonts w:hint="eastAsia"/>
        </w:rPr>
        <w:t>对于非内衬和复合板电站热力系统压力容器，当壁厚损失不超过设计腐蚀裕量的75%时，可归类为与预期使用寿命低相关，否则归类为高相关；</w:t>
      </w:r>
    </w:p>
    <w:p w:rsidR="002447AF" w:rsidRDefault="002447AF" w:rsidP="00465055">
      <w:pPr>
        <w:pStyle w:val="af5"/>
        <w:numPr>
          <w:ilvl w:val="0"/>
          <w:numId w:val="39"/>
        </w:numPr>
      </w:pPr>
      <w:r>
        <w:rPr>
          <w:rFonts w:hint="eastAsia"/>
        </w:rPr>
        <w:t>对于内衬或复合板电站热力系统压力容器，当壁厚损失不超过衬板或者覆材厚度的25%，且使用期间腐蚀速率无逐年增大趋势时，可归类为与预期使用寿命低相关，否则归类为高相关。</w:t>
      </w:r>
    </w:p>
    <w:p w:rsidR="002447AF" w:rsidRDefault="002447AF" w:rsidP="002447AF">
      <w:pPr>
        <w:pStyle w:val="affe"/>
        <w:spacing w:before="156" w:after="156"/>
        <w:rPr>
          <w:kern w:val="2"/>
          <w:szCs w:val="21"/>
        </w:rPr>
      </w:pPr>
      <w:r w:rsidRPr="002447AF">
        <w:rPr>
          <w:rFonts w:hint="eastAsia"/>
        </w:rPr>
        <w:t>疲劳</w:t>
      </w:r>
    </w:p>
    <w:p w:rsidR="002447AF" w:rsidRDefault="002447AF" w:rsidP="002447AF">
      <w:pPr>
        <w:pStyle w:val="afffffffff0"/>
        <w:rPr>
          <w:szCs w:val="21"/>
        </w:rPr>
      </w:pPr>
      <w:r>
        <w:rPr>
          <w:rFonts w:hint="eastAsia"/>
        </w:rPr>
        <w:t>对存在疲劳损伤模式的电站热力系统压力容器，评估人员应根据其运行情况、宏观检验和无损检测历史情况进行损伤评估。</w:t>
      </w:r>
    </w:p>
    <w:p w:rsidR="002447AF" w:rsidRDefault="002447AF" w:rsidP="002447AF">
      <w:pPr>
        <w:pStyle w:val="afffffffff0"/>
      </w:pPr>
      <w:r>
        <w:rPr>
          <w:rFonts w:hint="eastAsia"/>
        </w:rPr>
        <w:t>存在疲劳损伤模式的电站热力系统压力容器按下列方法归类：</w:t>
      </w:r>
    </w:p>
    <w:p w:rsidR="002447AF" w:rsidRDefault="002447AF" w:rsidP="00465055">
      <w:pPr>
        <w:pStyle w:val="af5"/>
        <w:numPr>
          <w:ilvl w:val="0"/>
          <w:numId w:val="40"/>
        </w:numPr>
      </w:pPr>
      <w:r>
        <w:rPr>
          <w:rFonts w:hint="eastAsia"/>
        </w:rPr>
        <w:t>近3次检验未发现疲劳裂纹的</w:t>
      </w:r>
      <w:r w:rsidRPr="002447AF">
        <w:rPr>
          <w:rFonts w:hint="eastAsia"/>
          <w:color w:val="000000"/>
        </w:rPr>
        <w:t>电站热力系统压力容器</w:t>
      </w:r>
      <w:r>
        <w:rPr>
          <w:rFonts w:hint="eastAsia"/>
        </w:rPr>
        <w:t>，可归类为与预期使用寿命无关。</w:t>
      </w:r>
    </w:p>
    <w:p w:rsidR="002447AF" w:rsidRDefault="002447AF" w:rsidP="00465055">
      <w:pPr>
        <w:pStyle w:val="af5"/>
        <w:numPr>
          <w:ilvl w:val="0"/>
          <w:numId w:val="40"/>
        </w:numPr>
      </w:pPr>
      <w:r>
        <w:rPr>
          <w:rFonts w:hint="eastAsia"/>
        </w:rPr>
        <w:t>近3次检验发现疲劳裂纹且裂纹未发生扩展的电</w:t>
      </w:r>
      <w:r w:rsidRPr="002447AF">
        <w:rPr>
          <w:rFonts w:hint="eastAsia"/>
          <w:color w:val="000000"/>
        </w:rPr>
        <w:t>站热力系统压力容器</w:t>
      </w:r>
      <w:r>
        <w:rPr>
          <w:rFonts w:hint="eastAsia"/>
        </w:rPr>
        <w:t>，可归类为与预期使用寿命低相关。</w:t>
      </w:r>
    </w:p>
    <w:p w:rsidR="002447AF" w:rsidRDefault="002447AF" w:rsidP="00465055">
      <w:pPr>
        <w:pStyle w:val="af5"/>
        <w:numPr>
          <w:ilvl w:val="0"/>
          <w:numId w:val="40"/>
        </w:numPr>
      </w:pPr>
      <w:r>
        <w:rPr>
          <w:rFonts w:hint="eastAsia"/>
        </w:rPr>
        <w:t>近3次检验发现疲劳裂纹且裂纹已发生扩展的</w:t>
      </w:r>
      <w:r w:rsidRPr="002447AF">
        <w:rPr>
          <w:rFonts w:hint="eastAsia"/>
          <w:color w:val="000000"/>
        </w:rPr>
        <w:t>电站热力系统压力容器</w:t>
      </w:r>
      <w:r>
        <w:rPr>
          <w:rFonts w:hint="eastAsia"/>
        </w:rPr>
        <w:t>，可归类为与预期使用寿命高相关。</w:t>
      </w:r>
    </w:p>
    <w:p w:rsidR="002447AF" w:rsidRDefault="002447AF" w:rsidP="002447AF">
      <w:pPr>
        <w:pStyle w:val="affe"/>
        <w:spacing w:before="156" w:after="156"/>
        <w:rPr>
          <w:kern w:val="2"/>
          <w:szCs w:val="21"/>
        </w:rPr>
      </w:pPr>
      <w:r w:rsidRPr="002447AF">
        <w:rPr>
          <w:rFonts w:hint="eastAsia"/>
        </w:rPr>
        <w:lastRenderedPageBreak/>
        <w:t>蠕变</w:t>
      </w:r>
    </w:p>
    <w:p w:rsidR="002447AF" w:rsidRDefault="002447AF" w:rsidP="002447AF">
      <w:pPr>
        <w:pStyle w:val="afffffffff0"/>
        <w:rPr>
          <w:szCs w:val="21"/>
        </w:rPr>
      </w:pPr>
      <w:r>
        <w:rPr>
          <w:rFonts w:hint="eastAsia"/>
        </w:rPr>
        <w:t>对存在蠕变损伤模式的电站热力系统压力容器，评估人员应确认其设计条件和操作条件的差异，并根据其实际运行参数及历史宏观检验情況进行损伤评估，必要时补充金相、硬度等检测。</w:t>
      </w:r>
    </w:p>
    <w:p w:rsidR="002447AF" w:rsidRDefault="002447AF" w:rsidP="002447AF">
      <w:pPr>
        <w:pStyle w:val="afffffffff0"/>
        <w:rPr>
          <w:kern w:val="2"/>
          <w:szCs w:val="21"/>
        </w:rPr>
      </w:pPr>
      <w:r>
        <w:t>存在蠕变损伤模式的</w:t>
      </w:r>
      <w:r>
        <w:rPr>
          <w:rFonts w:hint="eastAsia"/>
        </w:rPr>
        <w:t>电站热力系统</w:t>
      </w:r>
      <w:r>
        <w:t>压力容器</w:t>
      </w:r>
      <w:r>
        <w:rPr>
          <w:rFonts w:hint="eastAsia"/>
        </w:rPr>
        <w:t>按下列</w:t>
      </w:r>
      <w:r>
        <w:t>方法</w:t>
      </w:r>
      <w:r>
        <w:rPr>
          <w:rFonts w:hint="eastAsia"/>
        </w:rPr>
        <w:t>归类：</w:t>
      </w:r>
    </w:p>
    <w:p w:rsidR="002447AF" w:rsidRPr="002447AF" w:rsidRDefault="002447AF" w:rsidP="00465055">
      <w:pPr>
        <w:pStyle w:val="af5"/>
        <w:numPr>
          <w:ilvl w:val="0"/>
          <w:numId w:val="41"/>
        </w:numPr>
        <w:rPr>
          <w:szCs w:val="21"/>
        </w:rPr>
      </w:pPr>
      <w:r>
        <w:rPr>
          <w:rFonts w:hint="eastAsia"/>
        </w:rPr>
        <w:t>确定正常工况下最高操作温度 T</w:t>
      </w:r>
      <w:r w:rsidRPr="002447AF">
        <w:rPr>
          <w:rFonts w:hint="eastAsia"/>
          <w:vertAlign w:val="subscript"/>
        </w:rPr>
        <w:t>OP</w:t>
      </w:r>
      <w:r>
        <w:rPr>
          <w:rFonts w:hint="eastAsia"/>
        </w:rPr>
        <w:t>和评价温度 T</w:t>
      </w:r>
      <w:r w:rsidRPr="002447AF">
        <w:rPr>
          <w:rFonts w:hint="eastAsia"/>
          <w:vertAlign w:val="subscript"/>
        </w:rPr>
        <w:t>EVAL</w:t>
      </w:r>
      <w:r>
        <w:rPr>
          <w:rFonts w:hint="eastAsia"/>
        </w:rPr>
        <w:t>。当壳体仅存在环焊缝时，T</w:t>
      </w:r>
      <w:r w:rsidRPr="002447AF">
        <w:rPr>
          <w:rFonts w:hint="eastAsia"/>
          <w:vertAlign w:val="subscript"/>
        </w:rPr>
        <w:t>EVAL</w:t>
      </w:r>
      <w:r>
        <w:rPr>
          <w:rFonts w:hint="eastAsia"/>
        </w:rPr>
        <w:t>= T</w:t>
      </w:r>
      <w:r w:rsidRPr="002447AF">
        <w:rPr>
          <w:rFonts w:hint="eastAsia"/>
          <w:vertAlign w:val="subscript"/>
        </w:rPr>
        <w:t>OP</w:t>
      </w:r>
      <w:r>
        <w:rPr>
          <w:rFonts w:hint="eastAsia"/>
        </w:rPr>
        <w:t>；当壳体存在至少一条纵焊缝时，T</w:t>
      </w:r>
      <w:r w:rsidRPr="002447AF">
        <w:rPr>
          <w:rFonts w:hint="eastAsia"/>
          <w:vertAlign w:val="subscript"/>
        </w:rPr>
        <w:t>EVAL</w:t>
      </w:r>
      <w:r>
        <w:rPr>
          <w:rFonts w:hint="eastAsia"/>
        </w:rPr>
        <w:t>=T</w:t>
      </w:r>
      <w:r w:rsidRPr="002447AF">
        <w:rPr>
          <w:rFonts w:hint="eastAsia"/>
          <w:vertAlign w:val="subscript"/>
        </w:rPr>
        <w:t>OP</w:t>
      </w:r>
      <w:r>
        <w:rPr>
          <w:rFonts w:hint="eastAsia"/>
        </w:rPr>
        <w:t>+14℃。</w:t>
      </w:r>
    </w:p>
    <w:p w:rsidR="002447AF" w:rsidRDefault="002447AF" w:rsidP="00465055">
      <w:pPr>
        <w:pStyle w:val="af5"/>
        <w:numPr>
          <w:ilvl w:val="0"/>
          <w:numId w:val="41"/>
        </w:numPr>
      </w:pPr>
      <w:r>
        <w:rPr>
          <w:rFonts w:hint="eastAsia"/>
        </w:rPr>
        <w:t>评价温度T</w:t>
      </w:r>
      <w:r w:rsidRPr="002447AF">
        <w:rPr>
          <w:rFonts w:hint="eastAsia"/>
          <w:vertAlign w:val="subscript"/>
        </w:rPr>
        <w:t>EVAL</w:t>
      </w:r>
      <w:r>
        <w:rPr>
          <w:rFonts w:hint="eastAsia"/>
        </w:rPr>
        <w:t>低于表2和表3规定的相应材料临界温度T</w:t>
      </w:r>
      <w:r w:rsidRPr="002447AF">
        <w:rPr>
          <w:rFonts w:hint="eastAsia"/>
          <w:vertAlign w:val="subscript"/>
        </w:rPr>
        <w:t>C1</w:t>
      </w:r>
      <w:r>
        <w:rPr>
          <w:rFonts w:hint="eastAsia"/>
        </w:rPr>
        <w:t>时，可归类为与预期使用寿命无关。</w:t>
      </w:r>
    </w:p>
    <w:p w:rsidR="002447AF" w:rsidRDefault="002447AF" w:rsidP="00465055">
      <w:pPr>
        <w:pStyle w:val="af5"/>
        <w:numPr>
          <w:ilvl w:val="0"/>
          <w:numId w:val="41"/>
        </w:numPr>
      </w:pPr>
      <w:r>
        <w:rPr>
          <w:rFonts w:hint="eastAsia"/>
        </w:rPr>
        <w:t>评价温度T</w:t>
      </w:r>
      <w:r w:rsidRPr="002447AF">
        <w:rPr>
          <w:rFonts w:hint="eastAsia"/>
          <w:vertAlign w:val="subscript"/>
        </w:rPr>
        <w:t>EVAL</w:t>
      </w:r>
      <w:r>
        <w:rPr>
          <w:rFonts w:hint="eastAsia"/>
        </w:rPr>
        <w:t>高于或者等于表2和表3规定的相应材料临界温度T</w:t>
      </w:r>
      <w:r w:rsidRPr="002447AF">
        <w:rPr>
          <w:rFonts w:hint="eastAsia"/>
          <w:vertAlign w:val="subscript"/>
        </w:rPr>
        <w:t>C1</w:t>
      </w:r>
      <w:r>
        <w:rPr>
          <w:rFonts w:hint="eastAsia"/>
        </w:rPr>
        <w:t>时，可归类为与预期使用寿命低相关或高相关，其中：</w:t>
      </w:r>
    </w:p>
    <w:p w:rsidR="002447AF" w:rsidRDefault="002447AF" w:rsidP="002447AF">
      <w:pPr>
        <w:pStyle w:val="af6"/>
      </w:pPr>
      <w:r>
        <w:rPr>
          <w:rFonts w:hint="eastAsia"/>
        </w:rPr>
        <w:t>近3次检验未曾发现蠕变损伤或蠕变变形时，可归类为与预期使用寿命低相关；</w:t>
      </w:r>
    </w:p>
    <w:p w:rsidR="002447AF" w:rsidRDefault="002447AF" w:rsidP="002447AF">
      <w:pPr>
        <w:pStyle w:val="af6"/>
      </w:pPr>
      <w:r>
        <w:rPr>
          <w:rFonts w:hint="eastAsia"/>
        </w:rPr>
        <w:t>曾发现蠕变损伤或蠕变变形，或无可靠的蠕变损伤检验历史记录时，可归类为与预期使用寿命高相关。</w:t>
      </w:r>
    </w:p>
    <w:p w:rsidR="00C02A33" w:rsidRDefault="002447AF" w:rsidP="002447AF">
      <w:pPr>
        <w:pStyle w:val="aff2"/>
        <w:spacing w:before="156" w:after="156"/>
      </w:pPr>
      <w:r>
        <w:rPr>
          <w:rFonts w:hint="eastAsia"/>
        </w:rPr>
        <w:t>常见钢板蠕变损伤模式临界控制温度T</w:t>
      </w:r>
      <w:r w:rsidRPr="002447AF">
        <w:rPr>
          <w:rFonts w:hint="eastAsia"/>
          <w:vertAlign w:val="subscript"/>
        </w:rPr>
        <w:t>C</w:t>
      </w:r>
      <w:r w:rsidRPr="002447AF">
        <w:rPr>
          <w:vertAlign w:val="subscript"/>
        </w:rPr>
        <w:t>1</w:t>
      </w:r>
      <w:r w:rsidRPr="002447AF">
        <w:rPr>
          <w:rFonts w:hint="eastAsia"/>
        </w:rPr>
        <w:t>推荐值</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418"/>
        <w:gridCol w:w="1559"/>
        <w:gridCol w:w="1559"/>
        <w:gridCol w:w="2543"/>
        <w:gridCol w:w="1556"/>
      </w:tblGrid>
      <w:tr w:rsidR="00BF0D87" w:rsidTr="002447AF">
        <w:trPr>
          <w:tblHeader/>
          <w:jc w:val="center"/>
        </w:trPr>
        <w:tc>
          <w:tcPr>
            <w:tcW w:w="699" w:type="dxa"/>
            <w:tcBorders>
              <w:top w:val="single" w:sz="8" w:space="0" w:color="auto"/>
              <w:bottom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序号</w:t>
            </w:r>
          </w:p>
        </w:tc>
        <w:tc>
          <w:tcPr>
            <w:tcW w:w="1418" w:type="dxa"/>
            <w:tcBorders>
              <w:top w:val="single" w:sz="8" w:space="0" w:color="auto"/>
              <w:bottom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类别</w:t>
            </w:r>
          </w:p>
        </w:tc>
        <w:tc>
          <w:tcPr>
            <w:tcW w:w="1559" w:type="dxa"/>
            <w:tcBorders>
              <w:top w:val="single" w:sz="8" w:space="0" w:color="auto"/>
              <w:bottom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牌号</w:t>
            </w:r>
          </w:p>
        </w:tc>
        <w:tc>
          <w:tcPr>
            <w:tcW w:w="1559" w:type="dxa"/>
            <w:tcBorders>
              <w:top w:val="single" w:sz="8" w:space="0" w:color="auto"/>
              <w:bottom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材料标准</w:t>
            </w:r>
          </w:p>
        </w:tc>
        <w:tc>
          <w:tcPr>
            <w:tcW w:w="2543" w:type="dxa"/>
            <w:tcBorders>
              <w:top w:val="single" w:sz="8" w:space="0" w:color="auto"/>
              <w:bottom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使用状态</w:t>
            </w:r>
          </w:p>
        </w:tc>
        <w:tc>
          <w:tcPr>
            <w:tcW w:w="1556" w:type="dxa"/>
            <w:tcBorders>
              <w:top w:val="single" w:sz="8" w:space="0" w:color="auto"/>
              <w:bottom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临界温度T</w:t>
            </w:r>
            <w:r w:rsidRPr="002447AF">
              <w:rPr>
                <w:rFonts w:hAnsi="宋体" w:hint="eastAsia"/>
                <w:color w:val="000000"/>
                <w:szCs w:val="18"/>
                <w:vertAlign w:val="subscript"/>
              </w:rPr>
              <w:t>C1</w:t>
            </w:r>
            <w:r w:rsidRPr="002447AF">
              <w:rPr>
                <w:rFonts w:hAnsi="宋体" w:hint="eastAsia"/>
                <w:color w:val="000000"/>
                <w:szCs w:val="18"/>
              </w:rPr>
              <w:t>/℃</w:t>
            </w:r>
          </w:p>
        </w:tc>
      </w:tr>
      <w:tr w:rsidR="00BF0D87" w:rsidTr="002447AF">
        <w:trPr>
          <w:jc w:val="center"/>
        </w:trPr>
        <w:tc>
          <w:tcPr>
            <w:tcW w:w="699" w:type="dxa"/>
            <w:tcBorders>
              <w:top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1</w:t>
            </w:r>
          </w:p>
        </w:tc>
        <w:tc>
          <w:tcPr>
            <w:tcW w:w="1418" w:type="dxa"/>
            <w:tcBorders>
              <w:top w:val="single" w:sz="8" w:space="0" w:color="auto"/>
            </w:tcBorders>
            <w:shd w:val="clear" w:color="auto" w:fill="auto"/>
            <w:vAlign w:val="center"/>
          </w:tcPr>
          <w:p w:rsidR="002447AF" w:rsidRPr="002447AF" w:rsidRDefault="002447AF" w:rsidP="002447AF">
            <w:pPr>
              <w:pStyle w:val="afffffffff9"/>
              <w:rPr>
                <w:szCs w:val="18"/>
              </w:rPr>
            </w:pPr>
            <w:r w:rsidRPr="002447AF">
              <w:rPr>
                <w:rFonts w:hAnsi="宋体" w:hint="eastAsia"/>
                <w:color w:val="000000"/>
                <w:szCs w:val="18"/>
              </w:rPr>
              <w:t>碳素钢</w:t>
            </w:r>
          </w:p>
        </w:tc>
        <w:tc>
          <w:tcPr>
            <w:tcW w:w="1559" w:type="dxa"/>
            <w:tcBorders>
              <w:top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Q245R</w:t>
            </w:r>
          </w:p>
        </w:tc>
        <w:tc>
          <w:tcPr>
            <w:tcW w:w="1559" w:type="dxa"/>
            <w:tcBorders>
              <w:top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GB/T 713</w:t>
            </w:r>
          </w:p>
        </w:tc>
        <w:tc>
          <w:tcPr>
            <w:tcW w:w="2543" w:type="dxa"/>
            <w:tcBorders>
              <w:top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热轧、控扎、正火</w:t>
            </w:r>
          </w:p>
        </w:tc>
        <w:tc>
          <w:tcPr>
            <w:tcW w:w="1556" w:type="dxa"/>
            <w:tcBorders>
              <w:top w:val="single" w:sz="8" w:space="0" w:color="auto"/>
            </w:tcBorders>
            <w:shd w:val="clear" w:color="auto" w:fill="auto"/>
          </w:tcPr>
          <w:p w:rsidR="002447AF" w:rsidRPr="002447AF" w:rsidRDefault="002447AF" w:rsidP="002447AF">
            <w:pPr>
              <w:pStyle w:val="afffffffff9"/>
              <w:rPr>
                <w:szCs w:val="18"/>
              </w:rPr>
            </w:pPr>
            <w:r w:rsidRPr="002447AF">
              <w:rPr>
                <w:rFonts w:hAnsi="宋体" w:hint="eastAsia"/>
                <w:color w:val="000000"/>
                <w:szCs w:val="18"/>
              </w:rPr>
              <w:t>375</w:t>
            </w:r>
          </w:p>
        </w:tc>
      </w:tr>
      <w:tr w:rsidR="002447AF" w:rsidTr="002447AF">
        <w:trPr>
          <w:jc w:val="center"/>
        </w:trPr>
        <w:tc>
          <w:tcPr>
            <w:tcW w:w="69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2</w:t>
            </w:r>
          </w:p>
        </w:tc>
        <w:tc>
          <w:tcPr>
            <w:tcW w:w="1418" w:type="dxa"/>
            <w:vMerge w:val="restart"/>
            <w:shd w:val="clear" w:color="auto" w:fill="auto"/>
            <w:vAlign w:val="center"/>
          </w:tcPr>
          <w:p w:rsidR="002447AF" w:rsidRPr="002447AF" w:rsidRDefault="002447AF" w:rsidP="002447AF">
            <w:pPr>
              <w:pStyle w:val="afffffffff9"/>
              <w:rPr>
                <w:szCs w:val="18"/>
              </w:rPr>
            </w:pPr>
            <w:r w:rsidRPr="002447AF">
              <w:rPr>
                <w:rFonts w:hAnsi="宋体" w:hint="eastAsia"/>
                <w:color w:val="000000"/>
                <w:szCs w:val="18"/>
              </w:rPr>
              <w:t>低合金钢</w:t>
            </w:r>
          </w:p>
        </w:tc>
        <w:tc>
          <w:tcPr>
            <w:tcW w:w="155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Q345R</w:t>
            </w:r>
          </w:p>
        </w:tc>
        <w:tc>
          <w:tcPr>
            <w:tcW w:w="155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GB/T 713</w:t>
            </w:r>
          </w:p>
        </w:tc>
        <w:tc>
          <w:tcPr>
            <w:tcW w:w="2543" w:type="dxa"/>
            <w:shd w:val="clear" w:color="auto" w:fill="auto"/>
          </w:tcPr>
          <w:p w:rsidR="002447AF" w:rsidRPr="002447AF" w:rsidRDefault="002447AF" w:rsidP="002447AF">
            <w:pPr>
              <w:pStyle w:val="afffffffff9"/>
              <w:rPr>
                <w:szCs w:val="18"/>
              </w:rPr>
            </w:pPr>
            <w:r w:rsidRPr="002447AF">
              <w:rPr>
                <w:rFonts w:hAnsi="宋体" w:hint="eastAsia"/>
                <w:color w:val="000000"/>
                <w:szCs w:val="18"/>
              </w:rPr>
              <w:t>热轧、控扎、正火</w:t>
            </w:r>
          </w:p>
        </w:tc>
        <w:tc>
          <w:tcPr>
            <w:tcW w:w="1556" w:type="dxa"/>
            <w:shd w:val="clear" w:color="auto" w:fill="auto"/>
          </w:tcPr>
          <w:p w:rsidR="002447AF" w:rsidRPr="002447AF" w:rsidRDefault="002447AF" w:rsidP="002447AF">
            <w:pPr>
              <w:pStyle w:val="afffffffff9"/>
              <w:rPr>
                <w:szCs w:val="18"/>
              </w:rPr>
            </w:pPr>
            <w:r w:rsidRPr="002447AF">
              <w:rPr>
                <w:rFonts w:hAnsi="宋体" w:hint="eastAsia"/>
                <w:color w:val="000000"/>
                <w:szCs w:val="18"/>
              </w:rPr>
              <w:t>375</w:t>
            </w:r>
          </w:p>
        </w:tc>
      </w:tr>
      <w:tr w:rsidR="002447AF" w:rsidTr="002447AF">
        <w:trPr>
          <w:jc w:val="center"/>
        </w:trPr>
        <w:tc>
          <w:tcPr>
            <w:tcW w:w="69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3</w:t>
            </w:r>
          </w:p>
        </w:tc>
        <w:tc>
          <w:tcPr>
            <w:tcW w:w="1418" w:type="dxa"/>
            <w:vMerge/>
            <w:shd w:val="clear" w:color="auto" w:fill="auto"/>
          </w:tcPr>
          <w:p w:rsidR="002447AF" w:rsidRPr="002447AF" w:rsidRDefault="002447AF" w:rsidP="002447AF">
            <w:pPr>
              <w:pStyle w:val="afffffffff9"/>
              <w:rPr>
                <w:szCs w:val="18"/>
              </w:rPr>
            </w:pPr>
          </w:p>
        </w:tc>
        <w:tc>
          <w:tcPr>
            <w:tcW w:w="155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18MnMoNbR</w:t>
            </w:r>
          </w:p>
        </w:tc>
        <w:tc>
          <w:tcPr>
            <w:tcW w:w="155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GB/T 713</w:t>
            </w:r>
          </w:p>
        </w:tc>
        <w:tc>
          <w:tcPr>
            <w:tcW w:w="2543" w:type="dxa"/>
            <w:shd w:val="clear" w:color="auto" w:fill="auto"/>
          </w:tcPr>
          <w:p w:rsidR="002447AF" w:rsidRPr="002447AF" w:rsidRDefault="002447AF" w:rsidP="002447AF">
            <w:pPr>
              <w:pStyle w:val="afffffffff9"/>
              <w:rPr>
                <w:szCs w:val="18"/>
              </w:rPr>
            </w:pPr>
            <w:r w:rsidRPr="002447AF">
              <w:rPr>
                <w:rFonts w:hAnsi="宋体" w:hint="eastAsia"/>
                <w:color w:val="000000"/>
                <w:szCs w:val="18"/>
              </w:rPr>
              <w:t>正火+回火</w:t>
            </w:r>
          </w:p>
        </w:tc>
        <w:tc>
          <w:tcPr>
            <w:tcW w:w="1556" w:type="dxa"/>
            <w:shd w:val="clear" w:color="auto" w:fill="auto"/>
          </w:tcPr>
          <w:p w:rsidR="002447AF" w:rsidRPr="002447AF" w:rsidRDefault="002447AF" w:rsidP="002447AF">
            <w:pPr>
              <w:pStyle w:val="afffffffff9"/>
              <w:rPr>
                <w:szCs w:val="18"/>
              </w:rPr>
            </w:pPr>
            <w:r w:rsidRPr="002447AF">
              <w:rPr>
                <w:rFonts w:hAnsi="宋体" w:hint="eastAsia"/>
                <w:color w:val="000000"/>
                <w:szCs w:val="18"/>
              </w:rPr>
              <w:t>410</w:t>
            </w:r>
          </w:p>
        </w:tc>
      </w:tr>
      <w:tr w:rsidR="002447AF" w:rsidTr="002447AF">
        <w:trPr>
          <w:jc w:val="center"/>
        </w:trPr>
        <w:tc>
          <w:tcPr>
            <w:tcW w:w="69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4</w:t>
            </w:r>
          </w:p>
        </w:tc>
        <w:tc>
          <w:tcPr>
            <w:tcW w:w="1418" w:type="dxa"/>
            <w:vMerge/>
            <w:shd w:val="clear" w:color="auto" w:fill="auto"/>
          </w:tcPr>
          <w:p w:rsidR="002447AF" w:rsidRPr="002447AF" w:rsidRDefault="002447AF" w:rsidP="002447AF">
            <w:pPr>
              <w:pStyle w:val="afffffffff9"/>
              <w:rPr>
                <w:szCs w:val="18"/>
              </w:rPr>
            </w:pPr>
          </w:p>
        </w:tc>
        <w:tc>
          <w:tcPr>
            <w:tcW w:w="155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15CrMoR</w:t>
            </w:r>
          </w:p>
        </w:tc>
        <w:tc>
          <w:tcPr>
            <w:tcW w:w="155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GB/T 713</w:t>
            </w:r>
          </w:p>
        </w:tc>
        <w:tc>
          <w:tcPr>
            <w:tcW w:w="2543" w:type="dxa"/>
            <w:shd w:val="clear" w:color="auto" w:fill="auto"/>
          </w:tcPr>
          <w:p w:rsidR="002447AF" w:rsidRPr="002447AF" w:rsidRDefault="002447AF" w:rsidP="002447AF">
            <w:pPr>
              <w:pStyle w:val="afffffffff9"/>
              <w:rPr>
                <w:szCs w:val="18"/>
              </w:rPr>
            </w:pPr>
            <w:r w:rsidRPr="002447AF">
              <w:rPr>
                <w:rFonts w:hAnsi="宋体" w:hint="eastAsia"/>
                <w:color w:val="000000"/>
                <w:szCs w:val="18"/>
              </w:rPr>
              <w:t>正火+回火</w:t>
            </w:r>
          </w:p>
        </w:tc>
        <w:tc>
          <w:tcPr>
            <w:tcW w:w="1556" w:type="dxa"/>
            <w:shd w:val="clear" w:color="auto" w:fill="auto"/>
          </w:tcPr>
          <w:p w:rsidR="002447AF" w:rsidRPr="002447AF" w:rsidRDefault="002447AF" w:rsidP="002447AF">
            <w:pPr>
              <w:pStyle w:val="afffffffff9"/>
              <w:rPr>
                <w:szCs w:val="18"/>
              </w:rPr>
            </w:pPr>
            <w:r w:rsidRPr="002447AF">
              <w:rPr>
                <w:rFonts w:hAnsi="宋体" w:hint="eastAsia"/>
                <w:color w:val="000000"/>
                <w:szCs w:val="18"/>
              </w:rPr>
              <w:t>450</w:t>
            </w:r>
          </w:p>
        </w:tc>
      </w:tr>
      <w:tr w:rsidR="002447AF" w:rsidTr="002447AF">
        <w:trPr>
          <w:jc w:val="center"/>
        </w:trPr>
        <w:tc>
          <w:tcPr>
            <w:tcW w:w="699" w:type="dxa"/>
            <w:shd w:val="clear" w:color="auto" w:fill="auto"/>
          </w:tcPr>
          <w:p w:rsidR="002447AF" w:rsidRPr="002447AF" w:rsidRDefault="002447AF" w:rsidP="002447AF">
            <w:pPr>
              <w:pStyle w:val="afffffffff9"/>
              <w:rPr>
                <w:szCs w:val="18"/>
              </w:rPr>
            </w:pPr>
            <w:r w:rsidRPr="002447AF">
              <w:rPr>
                <w:rFonts w:hint="eastAsia"/>
                <w:szCs w:val="18"/>
              </w:rPr>
              <w:t>5</w:t>
            </w:r>
          </w:p>
        </w:tc>
        <w:tc>
          <w:tcPr>
            <w:tcW w:w="1418" w:type="dxa"/>
            <w:vMerge/>
            <w:shd w:val="clear" w:color="auto" w:fill="auto"/>
          </w:tcPr>
          <w:p w:rsidR="002447AF" w:rsidRPr="002447AF" w:rsidRDefault="002447AF" w:rsidP="002447AF">
            <w:pPr>
              <w:pStyle w:val="afffffffff9"/>
              <w:rPr>
                <w:szCs w:val="18"/>
              </w:rPr>
            </w:pPr>
          </w:p>
        </w:tc>
        <w:tc>
          <w:tcPr>
            <w:tcW w:w="155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12Cr2Mo1R</w:t>
            </w:r>
          </w:p>
        </w:tc>
        <w:tc>
          <w:tcPr>
            <w:tcW w:w="1559" w:type="dxa"/>
            <w:shd w:val="clear" w:color="auto" w:fill="auto"/>
          </w:tcPr>
          <w:p w:rsidR="002447AF" w:rsidRPr="002447AF" w:rsidRDefault="002447AF" w:rsidP="002447AF">
            <w:pPr>
              <w:pStyle w:val="afffffffff9"/>
              <w:rPr>
                <w:szCs w:val="18"/>
              </w:rPr>
            </w:pPr>
            <w:r w:rsidRPr="002447AF">
              <w:rPr>
                <w:rFonts w:hAnsi="宋体" w:hint="eastAsia"/>
                <w:color w:val="000000"/>
                <w:szCs w:val="18"/>
              </w:rPr>
              <w:t>GB/T 713</w:t>
            </w:r>
          </w:p>
        </w:tc>
        <w:tc>
          <w:tcPr>
            <w:tcW w:w="2543" w:type="dxa"/>
            <w:shd w:val="clear" w:color="auto" w:fill="auto"/>
          </w:tcPr>
          <w:p w:rsidR="002447AF" w:rsidRPr="002447AF" w:rsidRDefault="002447AF" w:rsidP="002447AF">
            <w:pPr>
              <w:pStyle w:val="afffffffff9"/>
              <w:rPr>
                <w:szCs w:val="18"/>
              </w:rPr>
            </w:pPr>
            <w:r w:rsidRPr="002447AF">
              <w:rPr>
                <w:rFonts w:hAnsi="宋体" w:hint="eastAsia"/>
                <w:color w:val="000000"/>
                <w:szCs w:val="18"/>
              </w:rPr>
              <w:t>正火+回火</w:t>
            </w:r>
          </w:p>
        </w:tc>
        <w:tc>
          <w:tcPr>
            <w:tcW w:w="1556" w:type="dxa"/>
            <w:shd w:val="clear" w:color="auto" w:fill="auto"/>
          </w:tcPr>
          <w:p w:rsidR="002447AF" w:rsidRPr="002447AF" w:rsidRDefault="002447AF" w:rsidP="002447AF">
            <w:pPr>
              <w:pStyle w:val="afffffffff9"/>
              <w:rPr>
                <w:szCs w:val="18"/>
              </w:rPr>
            </w:pPr>
            <w:r w:rsidRPr="002447AF">
              <w:rPr>
                <w:rFonts w:hAnsi="宋体" w:hint="eastAsia"/>
                <w:color w:val="000000"/>
                <w:szCs w:val="18"/>
              </w:rPr>
              <w:t>450</w:t>
            </w:r>
          </w:p>
        </w:tc>
      </w:tr>
      <w:tr w:rsidR="002447AF" w:rsidTr="002447AF">
        <w:trPr>
          <w:jc w:val="center"/>
        </w:trPr>
        <w:tc>
          <w:tcPr>
            <w:tcW w:w="699" w:type="dxa"/>
            <w:shd w:val="clear" w:color="auto" w:fill="auto"/>
          </w:tcPr>
          <w:p w:rsidR="002447AF" w:rsidRPr="002447AF" w:rsidRDefault="002447AF" w:rsidP="002447AF">
            <w:pPr>
              <w:pStyle w:val="afffffffff9"/>
              <w:rPr>
                <w:szCs w:val="18"/>
              </w:rPr>
            </w:pPr>
            <w:r w:rsidRPr="002447AF">
              <w:rPr>
                <w:rFonts w:hint="eastAsia"/>
                <w:szCs w:val="18"/>
              </w:rPr>
              <w:t>6</w:t>
            </w:r>
          </w:p>
        </w:tc>
        <w:tc>
          <w:tcPr>
            <w:tcW w:w="1418" w:type="dxa"/>
            <w:vMerge/>
            <w:shd w:val="clear" w:color="auto" w:fill="auto"/>
          </w:tcPr>
          <w:p w:rsidR="002447AF" w:rsidRPr="002447AF" w:rsidRDefault="002447AF" w:rsidP="002447AF">
            <w:pPr>
              <w:pStyle w:val="afffffffff9"/>
              <w:rPr>
                <w:szCs w:val="18"/>
              </w:rPr>
            </w:pPr>
          </w:p>
        </w:tc>
        <w:tc>
          <w:tcPr>
            <w:tcW w:w="1559" w:type="dxa"/>
            <w:shd w:val="clear" w:color="auto" w:fill="auto"/>
          </w:tcPr>
          <w:p w:rsidR="002447AF" w:rsidRPr="002447AF" w:rsidRDefault="002447AF" w:rsidP="002447AF">
            <w:pPr>
              <w:pStyle w:val="afffffffff9"/>
              <w:rPr>
                <w:szCs w:val="18"/>
              </w:rPr>
            </w:pPr>
            <w:r w:rsidRPr="002447AF">
              <w:rPr>
                <w:rFonts w:hint="eastAsia"/>
                <w:szCs w:val="18"/>
              </w:rPr>
              <w:t xml:space="preserve">12Cr1MoVR </w:t>
            </w:r>
          </w:p>
        </w:tc>
        <w:tc>
          <w:tcPr>
            <w:tcW w:w="1559" w:type="dxa"/>
            <w:shd w:val="clear" w:color="auto" w:fill="auto"/>
          </w:tcPr>
          <w:p w:rsidR="002447AF" w:rsidRPr="002447AF" w:rsidRDefault="002447AF" w:rsidP="002447AF">
            <w:pPr>
              <w:pStyle w:val="afffffffff9"/>
              <w:rPr>
                <w:szCs w:val="18"/>
              </w:rPr>
            </w:pPr>
            <w:r w:rsidRPr="002447AF">
              <w:rPr>
                <w:rFonts w:hint="eastAsia"/>
                <w:szCs w:val="18"/>
              </w:rPr>
              <w:t>GB/T 713</w:t>
            </w:r>
          </w:p>
        </w:tc>
        <w:tc>
          <w:tcPr>
            <w:tcW w:w="2543" w:type="dxa"/>
            <w:shd w:val="clear" w:color="auto" w:fill="auto"/>
          </w:tcPr>
          <w:p w:rsidR="002447AF" w:rsidRPr="002447AF" w:rsidRDefault="002447AF" w:rsidP="002447AF">
            <w:pPr>
              <w:pStyle w:val="afffffffff9"/>
              <w:rPr>
                <w:szCs w:val="18"/>
              </w:rPr>
            </w:pPr>
            <w:r w:rsidRPr="002447AF">
              <w:rPr>
                <w:rFonts w:hAnsi="宋体" w:hint="eastAsia"/>
                <w:szCs w:val="18"/>
              </w:rPr>
              <w:t>正火</w:t>
            </w:r>
            <w:r w:rsidRPr="002447AF">
              <w:rPr>
                <w:rFonts w:hint="eastAsia"/>
                <w:szCs w:val="18"/>
              </w:rPr>
              <w:t>+回火</w:t>
            </w:r>
          </w:p>
        </w:tc>
        <w:tc>
          <w:tcPr>
            <w:tcW w:w="1556" w:type="dxa"/>
            <w:shd w:val="clear" w:color="auto" w:fill="auto"/>
          </w:tcPr>
          <w:p w:rsidR="002447AF" w:rsidRPr="002447AF" w:rsidRDefault="002447AF" w:rsidP="002447AF">
            <w:pPr>
              <w:pStyle w:val="afffffffff9"/>
              <w:rPr>
                <w:szCs w:val="18"/>
              </w:rPr>
            </w:pPr>
            <w:r w:rsidRPr="002447AF">
              <w:rPr>
                <w:rFonts w:hint="eastAsia"/>
                <w:szCs w:val="18"/>
              </w:rPr>
              <w:t>450</w:t>
            </w:r>
          </w:p>
        </w:tc>
      </w:tr>
    </w:tbl>
    <w:p w:rsidR="002447AF" w:rsidRPr="002447AF" w:rsidRDefault="002447AF" w:rsidP="002447AF">
      <w:pPr>
        <w:pStyle w:val="aff2"/>
        <w:spacing w:before="156" w:after="156"/>
        <w:rPr>
          <w:kern w:val="2"/>
          <w:szCs w:val="21"/>
        </w:rPr>
      </w:pPr>
      <w:r>
        <w:rPr>
          <w:rFonts w:hint="eastAsia"/>
        </w:rPr>
        <w:t>常见锻件蠕变损伤模式临界控制温度T</w:t>
      </w:r>
      <w:r>
        <w:rPr>
          <w:rFonts w:hint="eastAsia"/>
          <w:vertAlign w:val="subscript"/>
        </w:rPr>
        <w:t>C1</w:t>
      </w:r>
      <w:r>
        <w:rPr>
          <w:rFonts w:hint="eastAsia"/>
        </w:rPr>
        <w:t>推荐值</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418"/>
        <w:gridCol w:w="1559"/>
        <w:gridCol w:w="1559"/>
        <w:gridCol w:w="2543"/>
        <w:gridCol w:w="1556"/>
      </w:tblGrid>
      <w:tr w:rsidR="002447AF" w:rsidTr="002447AF">
        <w:trPr>
          <w:tblHeader/>
          <w:jc w:val="center"/>
        </w:trPr>
        <w:tc>
          <w:tcPr>
            <w:tcW w:w="699" w:type="dxa"/>
            <w:tcBorders>
              <w:top w:val="single" w:sz="8" w:space="0" w:color="auto"/>
              <w:bottom w:val="single" w:sz="8" w:space="0" w:color="auto"/>
            </w:tcBorders>
            <w:shd w:val="clear" w:color="auto" w:fill="auto"/>
            <w:vAlign w:val="center"/>
          </w:tcPr>
          <w:p w:rsidR="002447AF" w:rsidRDefault="002447AF" w:rsidP="002447AF">
            <w:pPr>
              <w:pStyle w:val="afffffffff9"/>
            </w:pPr>
            <w:r>
              <w:rPr>
                <w:rFonts w:hAnsi="宋体" w:hint="eastAsia"/>
                <w:color w:val="000000"/>
              </w:rPr>
              <w:t>序号</w:t>
            </w:r>
          </w:p>
        </w:tc>
        <w:tc>
          <w:tcPr>
            <w:tcW w:w="1418" w:type="dxa"/>
            <w:tcBorders>
              <w:top w:val="single" w:sz="8" w:space="0" w:color="auto"/>
              <w:bottom w:val="single" w:sz="8" w:space="0" w:color="auto"/>
            </w:tcBorders>
            <w:shd w:val="clear" w:color="auto" w:fill="auto"/>
            <w:vAlign w:val="center"/>
          </w:tcPr>
          <w:p w:rsidR="002447AF" w:rsidRDefault="002447AF" w:rsidP="002447AF">
            <w:pPr>
              <w:pStyle w:val="afffffffff9"/>
            </w:pPr>
            <w:r>
              <w:rPr>
                <w:rFonts w:hAnsi="宋体" w:hint="eastAsia"/>
                <w:color w:val="000000"/>
              </w:rPr>
              <w:t>类别</w:t>
            </w:r>
          </w:p>
        </w:tc>
        <w:tc>
          <w:tcPr>
            <w:tcW w:w="1559" w:type="dxa"/>
            <w:tcBorders>
              <w:top w:val="single" w:sz="8" w:space="0" w:color="auto"/>
              <w:bottom w:val="single" w:sz="8" w:space="0" w:color="auto"/>
            </w:tcBorders>
            <w:shd w:val="clear" w:color="auto" w:fill="auto"/>
            <w:vAlign w:val="center"/>
          </w:tcPr>
          <w:p w:rsidR="002447AF" w:rsidRDefault="002447AF" w:rsidP="002447AF">
            <w:pPr>
              <w:pStyle w:val="afffffffff9"/>
            </w:pPr>
            <w:r>
              <w:rPr>
                <w:rFonts w:hAnsi="宋体" w:hint="eastAsia"/>
                <w:color w:val="000000"/>
              </w:rPr>
              <w:t>牌号</w:t>
            </w:r>
          </w:p>
        </w:tc>
        <w:tc>
          <w:tcPr>
            <w:tcW w:w="1559" w:type="dxa"/>
            <w:tcBorders>
              <w:top w:val="single" w:sz="8" w:space="0" w:color="auto"/>
              <w:bottom w:val="single" w:sz="8" w:space="0" w:color="auto"/>
            </w:tcBorders>
            <w:shd w:val="clear" w:color="auto" w:fill="auto"/>
            <w:vAlign w:val="center"/>
          </w:tcPr>
          <w:p w:rsidR="002447AF" w:rsidRDefault="002447AF" w:rsidP="002447AF">
            <w:pPr>
              <w:pStyle w:val="afffffffff9"/>
            </w:pPr>
            <w:r>
              <w:rPr>
                <w:rFonts w:hAnsi="宋体" w:hint="eastAsia"/>
                <w:color w:val="000000"/>
              </w:rPr>
              <w:t>材料标准</w:t>
            </w:r>
          </w:p>
        </w:tc>
        <w:tc>
          <w:tcPr>
            <w:tcW w:w="2543" w:type="dxa"/>
            <w:tcBorders>
              <w:top w:val="single" w:sz="8" w:space="0" w:color="auto"/>
              <w:bottom w:val="single" w:sz="8" w:space="0" w:color="auto"/>
            </w:tcBorders>
            <w:shd w:val="clear" w:color="auto" w:fill="auto"/>
            <w:vAlign w:val="center"/>
          </w:tcPr>
          <w:p w:rsidR="002447AF" w:rsidRDefault="002447AF" w:rsidP="002447AF">
            <w:pPr>
              <w:pStyle w:val="afffffffff9"/>
            </w:pPr>
            <w:r>
              <w:rPr>
                <w:rFonts w:hAnsi="宋体" w:hint="eastAsia"/>
                <w:color w:val="000000"/>
              </w:rPr>
              <w:t>使用状态</w:t>
            </w:r>
          </w:p>
        </w:tc>
        <w:tc>
          <w:tcPr>
            <w:tcW w:w="1556" w:type="dxa"/>
            <w:tcBorders>
              <w:top w:val="single" w:sz="8" w:space="0" w:color="auto"/>
              <w:bottom w:val="single" w:sz="8" w:space="0" w:color="auto"/>
            </w:tcBorders>
            <w:shd w:val="clear" w:color="auto" w:fill="auto"/>
            <w:vAlign w:val="center"/>
          </w:tcPr>
          <w:p w:rsidR="002447AF" w:rsidRDefault="002447AF" w:rsidP="002447AF">
            <w:pPr>
              <w:pStyle w:val="afffffffff9"/>
            </w:pPr>
            <w:r>
              <w:rPr>
                <w:rFonts w:hAnsi="宋体" w:hint="eastAsia"/>
                <w:color w:val="000000"/>
              </w:rPr>
              <w:t>临界温度T</w:t>
            </w:r>
            <w:r>
              <w:rPr>
                <w:rFonts w:hAnsi="宋体" w:hint="eastAsia"/>
                <w:color w:val="000000"/>
                <w:vertAlign w:val="subscript"/>
              </w:rPr>
              <w:t>C1</w:t>
            </w:r>
            <w:r>
              <w:rPr>
                <w:rFonts w:hAnsi="宋体" w:hint="eastAsia"/>
                <w:color w:val="000000"/>
              </w:rPr>
              <w:t>/℃</w:t>
            </w:r>
          </w:p>
        </w:tc>
      </w:tr>
      <w:tr w:rsidR="002447AF" w:rsidTr="002447AF">
        <w:trPr>
          <w:jc w:val="center"/>
        </w:trPr>
        <w:tc>
          <w:tcPr>
            <w:tcW w:w="699" w:type="dxa"/>
            <w:tcBorders>
              <w:top w:val="single" w:sz="8" w:space="0" w:color="auto"/>
            </w:tcBorders>
            <w:shd w:val="clear" w:color="auto" w:fill="auto"/>
            <w:vAlign w:val="center"/>
          </w:tcPr>
          <w:p w:rsidR="002447AF" w:rsidRDefault="002447AF" w:rsidP="002447AF">
            <w:pPr>
              <w:pStyle w:val="afffffffff9"/>
            </w:pPr>
            <w:r>
              <w:rPr>
                <w:rFonts w:hAnsi="宋体" w:hint="eastAsia"/>
                <w:color w:val="000000"/>
              </w:rPr>
              <w:t>1</w:t>
            </w:r>
          </w:p>
        </w:tc>
        <w:tc>
          <w:tcPr>
            <w:tcW w:w="1418" w:type="dxa"/>
            <w:tcBorders>
              <w:top w:val="single" w:sz="8" w:space="0" w:color="auto"/>
            </w:tcBorders>
            <w:shd w:val="clear" w:color="auto" w:fill="auto"/>
            <w:vAlign w:val="center"/>
          </w:tcPr>
          <w:p w:rsidR="002447AF" w:rsidRDefault="002447AF" w:rsidP="002447AF">
            <w:pPr>
              <w:pStyle w:val="afffffffff9"/>
            </w:pPr>
            <w:r>
              <w:rPr>
                <w:rFonts w:hAnsi="宋体" w:hint="eastAsia"/>
                <w:color w:val="000000"/>
              </w:rPr>
              <w:t>碳素钢</w:t>
            </w:r>
          </w:p>
        </w:tc>
        <w:tc>
          <w:tcPr>
            <w:tcW w:w="1559" w:type="dxa"/>
            <w:tcBorders>
              <w:top w:val="single" w:sz="8" w:space="0" w:color="auto"/>
            </w:tcBorders>
            <w:shd w:val="clear" w:color="auto" w:fill="auto"/>
            <w:vAlign w:val="center"/>
          </w:tcPr>
          <w:p w:rsidR="002447AF" w:rsidRDefault="002447AF" w:rsidP="002447AF">
            <w:pPr>
              <w:pStyle w:val="afffffffff9"/>
            </w:pPr>
            <w:r>
              <w:rPr>
                <w:rFonts w:hAnsi="宋体" w:hint="eastAsia"/>
                <w:color w:val="000000"/>
              </w:rPr>
              <w:t>20</w:t>
            </w:r>
          </w:p>
        </w:tc>
        <w:tc>
          <w:tcPr>
            <w:tcW w:w="1559" w:type="dxa"/>
            <w:tcBorders>
              <w:top w:val="single" w:sz="8" w:space="0" w:color="auto"/>
            </w:tcBorders>
            <w:shd w:val="clear" w:color="auto" w:fill="auto"/>
            <w:vAlign w:val="center"/>
          </w:tcPr>
          <w:p w:rsidR="002447AF" w:rsidRDefault="002447AF" w:rsidP="002447AF">
            <w:pPr>
              <w:pStyle w:val="afffffffff9"/>
            </w:pPr>
            <w:r>
              <w:rPr>
                <w:rFonts w:hAnsi="宋体" w:hint="eastAsia"/>
                <w:color w:val="000000"/>
              </w:rPr>
              <w:t>NB/T 47008</w:t>
            </w:r>
          </w:p>
        </w:tc>
        <w:tc>
          <w:tcPr>
            <w:tcW w:w="2543" w:type="dxa"/>
            <w:tcBorders>
              <w:top w:val="single" w:sz="8" w:space="0" w:color="auto"/>
            </w:tcBorders>
            <w:shd w:val="clear" w:color="auto" w:fill="auto"/>
            <w:vAlign w:val="center"/>
          </w:tcPr>
          <w:p w:rsidR="002447AF" w:rsidRDefault="002447AF" w:rsidP="002447AF">
            <w:pPr>
              <w:pStyle w:val="afffffffff9"/>
            </w:pPr>
            <w:r>
              <w:rPr>
                <w:rFonts w:hAnsi="宋体" w:hint="eastAsia"/>
                <w:color w:val="000000"/>
              </w:rPr>
              <w:t>正火、正火+回火</w:t>
            </w:r>
          </w:p>
        </w:tc>
        <w:tc>
          <w:tcPr>
            <w:tcW w:w="1556" w:type="dxa"/>
            <w:tcBorders>
              <w:top w:val="single" w:sz="8" w:space="0" w:color="auto"/>
            </w:tcBorders>
            <w:shd w:val="clear" w:color="auto" w:fill="auto"/>
            <w:vAlign w:val="center"/>
          </w:tcPr>
          <w:p w:rsidR="002447AF" w:rsidRDefault="002447AF" w:rsidP="002447AF">
            <w:pPr>
              <w:pStyle w:val="afffffffff9"/>
            </w:pPr>
            <w:r>
              <w:rPr>
                <w:rFonts w:hAnsi="宋体" w:hint="eastAsia"/>
                <w:color w:val="000000"/>
              </w:rPr>
              <w:t>375</w:t>
            </w:r>
          </w:p>
        </w:tc>
      </w:tr>
      <w:tr w:rsidR="002447AF" w:rsidTr="002447AF">
        <w:trPr>
          <w:jc w:val="center"/>
        </w:trPr>
        <w:tc>
          <w:tcPr>
            <w:tcW w:w="699" w:type="dxa"/>
            <w:shd w:val="clear" w:color="auto" w:fill="auto"/>
            <w:vAlign w:val="center"/>
          </w:tcPr>
          <w:p w:rsidR="002447AF" w:rsidRDefault="002447AF" w:rsidP="002447AF">
            <w:pPr>
              <w:pStyle w:val="afffffffff9"/>
            </w:pPr>
            <w:r>
              <w:rPr>
                <w:rFonts w:hAnsi="宋体" w:hint="eastAsia"/>
                <w:color w:val="000000"/>
              </w:rPr>
              <w:t>2</w:t>
            </w:r>
          </w:p>
        </w:tc>
        <w:tc>
          <w:tcPr>
            <w:tcW w:w="1418" w:type="dxa"/>
            <w:vMerge w:val="restart"/>
            <w:shd w:val="clear" w:color="auto" w:fill="auto"/>
            <w:vAlign w:val="center"/>
          </w:tcPr>
          <w:p w:rsidR="002447AF" w:rsidRDefault="002447AF" w:rsidP="002447AF">
            <w:pPr>
              <w:pStyle w:val="afffffffff9"/>
            </w:pPr>
            <w:r>
              <w:rPr>
                <w:rFonts w:hAnsi="宋体" w:hint="eastAsia"/>
                <w:color w:val="000000"/>
              </w:rPr>
              <w:t>低合金钢</w:t>
            </w:r>
          </w:p>
        </w:tc>
        <w:tc>
          <w:tcPr>
            <w:tcW w:w="1559" w:type="dxa"/>
            <w:shd w:val="clear" w:color="auto" w:fill="auto"/>
            <w:vAlign w:val="center"/>
          </w:tcPr>
          <w:p w:rsidR="002447AF" w:rsidRDefault="002447AF" w:rsidP="002447AF">
            <w:pPr>
              <w:pStyle w:val="afffffffff9"/>
            </w:pPr>
            <w:r>
              <w:rPr>
                <w:rFonts w:hAnsi="宋体" w:hint="eastAsia"/>
                <w:color w:val="000000"/>
              </w:rPr>
              <w:t>16Mn</w:t>
            </w:r>
          </w:p>
        </w:tc>
        <w:tc>
          <w:tcPr>
            <w:tcW w:w="1559" w:type="dxa"/>
            <w:shd w:val="clear" w:color="auto" w:fill="auto"/>
            <w:vAlign w:val="center"/>
          </w:tcPr>
          <w:p w:rsidR="002447AF" w:rsidRDefault="002447AF" w:rsidP="002447AF">
            <w:pPr>
              <w:pStyle w:val="afffffffff9"/>
            </w:pPr>
            <w:r>
              <w:rPr>
                <w:rFonts w:hAnsi="宋体" w:hint="eastAsia"/>
                <w:color w:val="000000"/>
              </w:rPr>
              <w:t>NB/T 47008</w:t>
            </w:r>
          </w:p>
        </w:tc>
        <w:tc>
          <w:tcPr>
            <w:tcW w:w="2543" w:type="dxa"/>
            <w:shd w:val="clear" w:color="auto" w:fill="auto"/>
            <w:vAlign w:val="center"/>
          </w:tcPr>
          <w:p w:rsidR="002447AF" w:rsidRDefault="002447AF" w:rsidP="002447AF">
            <w:pPr>
              <w:pStyle w:val="afffffffff9"/>
            </w:pPr>
            <w:r>
              <w:rPr>
                <w:rFonts w:hAnsi="宋体" w:hint="eastAsia"/>
                <w:color w:val="000000"/>
              </w:rPr>
              <w:t>正火、正火+回火、调质</w:t>
            </w:r>
          </w:p>
        </w:tc>
        <w:tc>
          <w:tcPr>
            <w:tcW w:w="1556" w:type="dxa"/>
            <w:shd w:val="clear" w:color="auto" w:fill="auto"/>
            <w:vAlign w:val="center"/>
          </w:tcPr>
          <w:p w:rsidR="002447AF" w:rsidRDefault="002447AF" w:rsidP="002447AF">
            <w:pPr>
              <w:pStyle w:val="afffffffff9"/>
            </w:pPr>
            <w:r>
              <w:rPr>
                <w:rFonts w:hAnsi="宋体" w:hint="eastAsia"/>
                <w:color w:val="000000"/>
              </w:rPr>
              <w:t>385</w:t>
            </w:r>
          </w:p>
        </w:tc>
      </w:tr>
      <w:tr w:rsidR="002447AF" w:rsidTr="002447AF">
        <w:trPr>
          <w:jc w:val="center"/>
        </w:trPr>
        <w:tc>
          <w:tcPr>
            <w:tcW w:w="699" w:type="dxa"/>
            <w:shd w:val="clear" w:color="auto" w:fill="auto"/>
            <w:vAlign w:val="center"/>
          </w:tcPr>
          <w:p w:rsidR="002447AF" w:rsidRDefault="002447AF" w:rsidP="002447AF">
            <w:pPr>
              <w:pStyle w:val="afffffffff9"/>
            </w:pPr>
            <w:r>
              <w:rPr>
                <w:rFonts w:hAnsi="宋体" w:hint="eastAsia"/>
                <w:color w:val="000000"/>
              </w:rPr>
              <w:t>3</w:t>
            </w:r>
          </w:p>
        </w:tc>
        <w:tc>
          <w:tcPr>
            <w:tcW w:w="1418" w:type="dxa"/>
            <w:vMerge/>
            <w:shd w:val="clear" w:color="auto" w:fill="auto"/>
            <w:vAlign w:val="center"/>
          </w:tcPr>
          <w:p w:rsidR="002447AF" w:rsidRDefault="002447AF" w:rsidP="002447AF">
            <w:pPr>
              <w:pStyle w:val="afffffffff9"/>
            </w:pPr>
          </w:p>
        </w:tc>
        <w:tc>
          <w:tcPr>
            <w:tcW w:w="1559" w:type="dxa"/>
            <w:shd w:val="clear" w:color="auto" w:fill="auto"/>
            <w:vAlign w:val="center"/>
          </w:tcPr>
          <w:p w:rsidR="002447AF" w:rsidRDefault="002447AF" w:rsidP="002447AF">
            <w:pPr>
              <w:pStyle w:val="afffffffff9"/>
            </w:pPr>
            <w:r>
              <w:rPr>
                <w:rFonts w:hAnsi="宋体" w:hint="eastAsia"/>
                <w:color w:val="000000"/>
              </w:rPr>
              <w:t>15CrMo</w:t>
            </w:r>
          </w:p>
        </w:tc>
        <w:tc>
          <w:tcPr>
            <w:tcW w:w="1559" w:type="dxa"/>
            <w:shd w:val="clear" w:color="auto" w:fill="auto"/>
            <w:vAlign w:val="center"/>
          </w:tcPr>
          <w:p w:rsidR="002447AF" w:rsidRDefault="002447AF" w:rsidP="002447AF">
            <w:pPr>
              <w:pStyle w:val="afffffffff9"/>
            </w:pPr>
            <w:r>
              <w:rPr>
                <w:rFonts w:hAnsi="宋体" w:hint="eastAsia"/>
                <w:color w:val="000000"/>
              </w:rPr>
              <w:t>NB/T 47008</w:t>
            </w:r>
          </w:p>
        </w:tc>
        <w:tc>
          <w:tcPr>
            <w:tcW w:w="2543" w:type="dxa"/>
            <w:shd w:val="clear" w:color="auto" w:fill="auto"/>
            <w:vAlign w:val="center"/>
          </w:tcPr>
          <w:p w:rsidR="002447AF" w:rsidRDefault="002447AF" w:rsidP="002447AF">
            <w:pPr>
              <w:pStyle w:val="afffffffff9"/>
            </w:pPr>
            <w:r>
              <w:rPr>
                <w:rFonts w:hAnsi="宋体" w:hint="eastAsia"/>
                <w:color w:val="000000"/>
              </w:rPr>
              <w:t>正火、正火+回火、调质</w:t>
            </w:r>
          </w:p>
        </w:tc>
        <w:tc>
          <w:tcPr>
            <w:tcW w:w="1556" w:type="dxa"/>
            <w:shd w:val="clear" w:color="auto" w:fill="auto"/>
            <w:vAlign w:val="center"/>
          </w:tcPr>
          <w:p w:rsidR="002447AF" w:rsidRDefault="002447AF" w:rsidP="002447AF">
            <w:pPr>
              <w:pStyle w:val="afffffffff9"/>
            </w:pPr>
            <w:r>
              <w:rPr>
                <w:rFonts w:hAnsi="宋体" w:hint="eastAsia"/>
                <w:color w:val="000000"/>
              </w:rPr>
              <w:t>450</w:t>
            </w:r>
          </w:p>
        </w:tc>
      </w:tr>
      <w:tr w:rsidR="002447AF" w:rsidTr="002447AF">
        <w:trPr>
          <w:jc w:val="center"/>
        </w:trPr>
        <w:tc>
          <w:tcPr>
            <w:tcW w:w="699" w:type="dxa"/>
            <w:shd w:val="clear" w:color="auto" w:fill="auto"/>
            <w:vAlign w:val="center"/>
          </w:tcPr>
          <w:p w:rsidR="002447AF" w:rsidRDefault="002447AF" w:rsidP="002447AF">
            <w:pPr>
              <w:pStyle w:val="afffffffff9"/>
            </w:pPr>
            <w:r>
              <w:rPr>
                <w:rFonts w:hint="eastAsia"/>
              </w:rPr>
              <w:t>4</w:t>
            </w:r>
          </w:p>
        </w:tc>
        <w:tc>
          <w:tcPr>
            <w:tcW w:w="1418" w:type="dxa"/>
            <w:vMerge/>
            <w:shd w:val="clear" w:color="auto" w:fill="auto"/>
            <w:vAlign w:val="center"/>
          </w:tcPr>
          <w:p w:rsidR="002447AF" w:rsidRDefault="002447AF" w:rsidP="002447AF">
            <w:pPr>
              <w:pStyle w:val="afffffffff9"/>
            </w:pPr>
          </w:p>
        </w:tc>
        <w:tc>
          <w:tcPr>
            <w:tcW w:w="1559" w:type="dxa"/>
            <w:shd w:val="clear" w:color="auto" w:fill="auto"/>
            <w:vAlign w:val="center"/>
          </w:tcPr>
          <w:p w:rsidR="002447AF" w:rsidRDefault="002447AF" w:rsidP="002447AF">
            <w:pPr>
              <w:pStyle w:val="afffffffff9"/>
            </w:pPr>
            <w:r>
              <w:rPr>
                <w:rFonts w:hAnsi="宋体" w:hint="eastAsia"/>
                <w:color w:val="000000"/>
              </w:rPr>
              <w:t>20MnMo</w:t>
            </w:r>
          </w:p>
        </w:tc>
        <w:tc>
          <w:tcPr>
            <w:tcW w:w="1559" w:type="dxa"/>
            <w:shd w:val="clear" w:color="auto" w:fill="auto"/>
            <w:vAlign w:val="center"/>
          </w:tcPr>
          <w:p w:rsidR="002447AF" w:rsidRDefault="002447AF" w:rsidP="002447AF">
            <w:pPr>
              <w:pStyle w:val="afffffffff9"/>
            </w:pPr>
            <w:r>
              <w:rPr>
                <w:rFonts w:hAnsi="宋体" w:hint="eastAsia"/>
                <w:color w:val="000000"/>
              </w:rPr>
              <w:t>NB/T 47008</w:t>
            </w:r>
          </w:p>
        </w:tc>
        <w:tc>
          <w:tcPr>
            <w:tcW w:w="2543" w:type="dxa"/>
            <w:shd w:val="clear" w:color="auto" w:fill="auto"/>
            <w:vAlign w:val="center"/>
          </w:tcPr>
          <w:p w:rsidR="002447AF" w:rsidRDefault="002447AF" w:rsidP="002447AF">
            <w:pPr>
              <w:pStyle w:val="afffffffff9"/>
            </w:pPr>
            <w:r>
              <w:rPr>
                <w:rFonts w:hAnsi="宋体" w:hint="eastAsia"/>
                <w:color w:val="000000"/>
              </w:rPr>
              <w:t>调质</w:t>
            </w:r>
          </w:p>
        </w:tc>
        <w:tc>
          <w:tcPr>
            <w:tcW w:w="1556" w:type="dxa"/>
            <w:shd w:val="clear" w:color="auto" w:fill="auto"/>
            <w:vAlign w:val="center"/>
          </w:tcPr>
          <w:p w:rsidR="002447AF" w:rsidRDefault="002447AF" w:rsidP="002447AF">
            <w:pPr>
              <w:pStyle w:val="afffffffff9"/>
            </w:pPr>
            <w:r>
              <w:rPr>
                <w:rFonts w:hAnsi="宋体" w:hint="eastAsia"/>
                <w:color w:val="000000"/>
              </w:rPr>
              <w:t>410</w:t>
            </w:r>
          </w:p>
        </w:tc>
      </w:tr>
      <w:tr w:rsidR="002447AF" w:rsidTr="002447AF">
        <w:trPr>
          <w:jc w:val="center"/>
        </w:trPr>
        <w:tc>
          <w:tcPr>
            <w:tcW w:w="699" w:type="dxa"/>
            <w:shd w:val="clear" w:color="auto" w:fill="auto"/>
            <w:vAlign w:val="center"/>
          </w:tcPr>
          <w:p w:rsidR="002447AF" w:rsidRDefault="002447AF" w:rsidP="002447AF">
            <w:pPr>
              <w:pStyle w:val="afffffffff9"/>
            </w:pPr>
            <w:r>
              <w:rPr>
                <w:rFonts w:hint="eastAsia"/>
              </w:rPr>
              <w:t>5</w:t>
            </w:r>
          </w:p>
        </w:tc>
        <w:tc>
          <w:tcPr>
            <w:tcW w:w="1418" w:type="dxa"/>
            <w:vMerge/>
            <w:shd w:val="clear" w:color="auto" w:fill="auto"/>
            <w:vAlign w:val="center"/>
          </w:tcPr>
          <w:p w:rsidR="002447AF" w:rsidRDefault="002447AF" w:rsidP="002447AF">
            <w:pPr>
              <w:pStyle w:val="afffffffff9"/>
            </w:pPr>
          </w:p>
        </w:tc>
        <w:tc>
          <w:tcPr>
            <w:tcW w:w="1559" w:type="dxa"/>
            <w:shd w:val="clear" w:color="auto" w:fill="auto"/>
            <w:vAlign w:val="center"/>
          </w:tcPr>
          <w:p w:rsidR="002447AF" w:rsidRDefault="002447AF" w:rsidP="002447AF">
            <w:pPr>
              <w:pStyle w:val="afffffffff9"/>
            </w:pPr>
            <w:r>
              <w:rPr>
                <w:rFonts w:hAnsi="宋体" w:hint="eastAsia"/>
                <w:color w:val="000000"/>
              </w:rPr>
              <w:t>20MnMoNb</w:t>
            </w:r>
          </w:p>
        </w:tc>
        <w:tc>
          <w:tcPr>
            <w:tcW w:w="1559" w:type="dxa"/>
            <w:shd w:val="clear" w:color="auto" w:fill="auto"/>
            <w:vAlign w:val="center"/>
          </w:tcPr>
          <w:p w:rsidR="002447AF" w:rsidRDefault="002447AF" w:rsidP="002447AF">
            <w:pPr>
              <w:pStyle w:val="afffffffff9"/>
            </w:pPr>
            <w:r>
              <w:rPr>
                <w:rFonts w:hAnsi="宋体" w:hint="eastAsia"/>
                <w:color w:val="000000"/>
              </w:rPr>
              <w:t>NB/T 47008</w:t>
            </w:r>
          </w:p>
        </w:tc>
        <w:tc>
          <w:tcPr>
            <w:tcW w:w="2543" w:type="dxa"/>
            <w:shd w:val="clear" w:color="auto" w:fill="auto"/>
            <w:vAlign w:val="center"/>
          </w:tcPr>
          <w:p w:rsidR="002447AF" w:rsidRDefault="002447AF" w:rsidP="002447AF">
            <w:pPr>
              <w:pStyle w:val="afffffffff9"/>
            </w:pPr>
            <w:r>
              <w:rPr>
                <w:rFonts w:hAnsi="宋体" w:hint="eastAsia"/>
                <w:color w:val="000000"/>
              </w:rPr>
              <w:t>调质</w:t>
            </w:r>
          </w:p>
        </w:tc>
        <w:tc>
          <w:tcPr>
            <w:tcW w:w="1556" w:type="dxa"/>
            <w:shd w:val="clear" w:color="auto" w:fill="auto"/>
            <w:vAlign w:val="center"/>
          </w:tcPr>
          <w:p w:rsidR="002447AF" w:rsidRDefault="002447AF" w:rsidP="002447AF">
            <w:pPr>
              <w:pStyle w:val="afffffffff9"/>
            </w:pPr>
            <w:r>
              <w:rPr>
                <w:rFonts w:hAnsi="宋体" w:hint="eastAsia"/>
                <w:color w:val="000000"/>
              </w:rPr>
              <w:t>410</w:t>
            </w:r>
          </w:p>
        </w:tc>
      </w:tr>
    </w:tbl>
    <w:p w:rsidR="002447AF" w:rsidRDefault="002447AF" w:rsidP="002447AF">
      <w:pPr>
        <w:pStyle w:val="affe"/>
        <w:spacing w:before="156" w:after="156"/>
        <w:rPr>
          <w:kern w:val="2"/>
          <w:szCs w:val="21"/>
        </w:rPr>
      </w:pPr>
      <w:r>
        <w:rPr>
          <w:rFonts w:hint="eastAsia"/>
        </w:rPr>
        <w:t>材料高温性能劣化</w:t>
      </w:r>
    </w:p>
    <w:p w:rsidR="002447AF" w:rsidRDefault="002447AF" w:rsidP="002447AF">
      <w:pPr>
        <w:pStyle w:val="afffffffff0"/>
        <w:rPr>
          <w:szCs w:val="21"/>
        </w:rPr>
      </w:pPr>
      <w:r>
        <w:rPr>
          <w:rFonts w:hAnsi="宋体" w:hint="eastAsia"/>
        </w:rPr>
        <w:t>对存在高温材质劣化损伤模式的电站热力系统压力容器（金相组织为珠光体的碳钢、碳锰钢等低合金材料，应考虑球化和石墨化；金相组织为贝氏体的铬钼钢、铬钼钒钢等耐热金属，应考虑组织退化），评估人员应根据其实际运行条件、硬度和金相检测历史情况进行损伤评估。</w:t>
      </w:r>
    </w:p>
    <w:p w:rsidR="002447AF" w:rsidRDefault="002447AF" w:rsidP="002447AF">
      <w:pPr>
        <w:pStyle w:val="afffffffff0"/>
        <w:rPr>
          <w:kern w:val="2"/>
        </w:rPr>
      </w:pPr>
      <w:r>
        <w:rPr>
          <w:rFonts w:hAnsi="宋体" w:hint="eastAsia"/>
        </w:rPr>
        <w:t>存在球化和石墨化损伤模式的电站热力系统压力容器按下列方法归类：</w:t>
      </w:r>
    </w:p>
    <w:p w:rsidR="002447AF" w:rsidRPr="00BF0D87" w:rsidRDefault="002447AF" w:rsidP="00465055">
      <w:pPr>
        <w:pStyle w:val="af5"/>
        <w:numPr>
          <w:ilvl w:val="0"/>
          <w:numId w:val="42"/>
        </w:numPr>
        <w:rPr>
          <w:kern w:val="2"/>
        </w:rPr>
      </w:pPr>
      <w:r>
        <w:rPr>
          <w:rFonts w:hint="eastAsia"/>
        </w:rPr>
        <w:t>服役温度低于375℃（碳钢）、425℃（铬钼钢）、475℃（铬钼钒钢）的，可归类为与预期寿命无关。</w:t>
      </w:r>
    </w:p>
    <w:p w:rsidR="002447AF" w:rsidRPr="00BF0D87" w:rsidRDefault="002447AF" w:rsidP="00465055">
      <w:pPr>
        <w:pStyle w:val="af5"/>
        <w:numPr>
          <w:ilvl w:val="0"/>
          <w:numId w:val="42"/>
        </w:numPr>
        <w:rPr>
          <w:kern w:val="2"/>
        </w:rPr>
      </w:pPr>
      <w:r>
        <w:rPr>
          <w:rFonts w:hint="eastAsia"/>
        </w:rPr>
        <w:lastRenderedPageBreak/>
        <w:t>对于历史检验（检测）结果符合下列情况之一的，可归类为与预期使用寿命无关：</w:t>
      </w:r>
    </w:p>
    <w:p w:rsidR="002447AF" w:rsidRDefault="002447AF" w:rsidP="00BF0D87">
      <w:pPr>
        <w:pStyle w:val="af6"/>
      </w:pPr>
      <w:r>
        <w:rPr>
          <w:rFonts w:hint="eastAsia"/>
        </w:rPr>
        <w:t>对于金相组织为珠光体的碳钢、低合金钢，球化2级及以下；</w:t>
      </w:r>
    </w:p>
    <w:p w:rsidR="002447AF" w:rsidRDefault="002447AF" w:rsidP="00BF0D87">
      <w:pPr>
        <w:pStyle w:val="af6"/>
      </w:pPr>
      <w:r>
        <w:rPr>
          <w:rFonts w:hint="eastAsia"/>
        </w:rPr>
        <w:t>对于金相组织为贝氏体的铬钼钢，球化3级及以下；</w:t>
      </w:r>
    </w:p>
    <w:p w:rsidR="002447AF" w:rsidRDefault="002447AF" w:rsidP="00BF0D87">
      <w:pPr>
        <w:pStyle w:val="af6"/>
      </w:pPr>
      <w:r>
        <w:rPr>
          <w:rFonts w:hint="eastAsia"/>
        </w:rPr>
        <w:t>石墨化2级及以下，且历次检验（检测）发现没有劣化趋势。</w:t>
      </w:r>
    </w:p>
    <w:p w:rsidR="002447AF" w:rsidRDefault="002447AF" w:rsidP="00BF0D87">
      <w:pPr>
        <w:pStyle w:val="af5"/>
      </w:pPr>
      <w:r>
        <w:rPr>
          <w:rFonts w:hint="eastAsia"/>
        </w:rPr>
        <w:t>对于历史检验(检测)结果符合下列情况之一的，可归类为与预期使用寿命低相关</w:t>
      </w:r>
      <w:r w:rsidR="00BF0D87">
        <w:rPr>
          <w:rFonts w:hint="eastAsia"/>
        </w:rPr>
        <w:t>：</w:t>
      </w:r>
    </w:p>
    <w:p w:rsidR="002447AF" w:rsidRDefault="002447AF" w:rsidP="00BF0D87">
      <w:pPr>
        <w:pStyle w:val="af6"/>
      </w:pPr>
      <w:r>
        <w:rPr>
          <w:rFonts w:hint="eastAsia"/>
        </w:rPr>
        <w:t>对于金相组织为珠光体的碳钢、低合金钢，球化3级，且历次检验（检测）中未出现进一步劣化趋势；</w:t>
      </w:r>
    </w:p>
    <w:p w:rsidR="002447AF" w:rsidRDefault="002447AF" w:rsidP="00BF0D87">
      <w:pPr>
        <w:pStyle w:val="af6"/>
      </w:pPr>
      <w:r>
        <w:rPr>
          <w:rFonts w:hint="eastAsia"/>
        </w:rPr>
        <w:t>对于金相组织为贝氏体的铬钼钢，球化4级，且历次检验（检测）中未出现进一步劣化趋势；</w:t>
      </w:r>
    </w:p>
    <w:p w:rsidR="002447AF" w:rsidRDefault="002447AF" w:rsidP="00BF0D87">
      <w:pPr>
        <w:pStyle w:val="af6"/>
      </w:pPr>
      <w:r>
        <w:rPr>
          <w:rFonts w:hint="eastAsia"/>
        </w:rPr>
        <w:t>石墨化 3 级，且历次检验（检测）未出现进一步劣化趋势。</w:t>
      </w:r>
    </w:p>
    <w:p w:rsidR="002447AF" w:rsidRDefault="002447AF" w:rsidP="00BF0D87">
      <w:pPr>
        <w:pStyle w:val="af5"/>
      </w:pPr>
      <w:r>
        <w:rPr>
          <w:rFonts w:hint="eastAsia"/>
        </w:rPr>
        <w:t>对于历史检验(检测)结果符合下列情况之一的，可归类为与预期使用寿命高相关。</w:t>
      </w:r>
    </w:p>
    <w:p w:rsidR="002447AF" w:rsidRDefault="002447AF" w:rsidP="00BF0D87">
      <w:pPr>
        <w:pStyle w:val="af6"/>
      </w:pPr>
      <w:r>
        <w:rPr>
          <w:rFonts w:hint="eastAsia"/>
        </w:rPr>
        <w:t>对于金相组织为珠光体的碳钢、低合金钢，球化4级及以上；</w:t>
      </w:r>
    </w:p>
    <w:p w:rsidR="002447AF" w:rsidRDefault="002447AF" w:rsidP="00BF0D87">
      <w:pPr>
        <w:pStyle w:val="af6"/>
      </w:pPr>
      <w:r>
        <w:rPr>
          <w:rFonts w:hint="eastAsia"/>
        </w:rPr>
        <w:t>石墨化4级；</w:t>
      </w:r>
    </w:p>
    <w:p w:rsidR="002447AF" w:rsidRDefault="002447AF" w:rsidP="00BF0D87">
      <w:pPr>
        <w:pStyle w:val="af6"/>
      </w:pPr>
      <w:r>
        <w:rPr>
          <w:rFonts w:hint="eastAsia"/>
        </w:rPr>
        <w:t>当c）中无法判断材料劣化趋势或出现进一步劣化趋势。</w:t>
      </w:r>
    </w:p>
    <w:p w:rsidR="002447AF" w:rsidRDefault="002447AF" w:rsidP="002447AF">
      <w:pPr>
        <w:pStyle w:val="afffffffff0"/>
        <w:rPr>
          <w:kern w:val="2"/>
        </w:rPr>
      </w:pPr>
      <w:r>
        <w:rPr>
          <w:rFonts w:hAnsi="宋体" w:hint="eastAsia"/>
          <w:color w:val="000000"/>
        </w:rPr>
        <w:t>材料的</w:t>
      </w:r>
      <w:r>
        <w:rPr>
          <w:rFonts w:hAnsi="宋体" w:hint="eastAsia"/>
        </w:rPr>
        <w:t>球化评级方法按照DL/T 674、DL/T</w:t>
      </w:r>
      <w:r>
        <w:rPr>
          <w:rFonts w:hint="eastAsia"/>
        </w:rPr>
        <w:t xml:space="preserve"> </w:t>
      </w:r>
      <w:r>
        <w:rPr>
          <w:rFonts w:hAnsi="宋体" w:hint="eastAsia"/>
        </w:rPr>
        <w:t>773、DL/T 787、DL/T 999等执行；石墨化评级方法按照</w:t>
      </w:r>
      <w:r>
        <w:rPr>
          <w:rFonts w:hint="eastAsia"/>
        </w:rPr>
        <w:t>DL/T 786执行。</w:t>
      </w:r>
    </w:p>
    <w:p w:rsidR="00BF0D87" w:rsidRDefault="00BF0D87" w:rsidP="00BF0D87">
      <w:pPr>
        <w:pStyle w:val="affc"/>
        <w:spacing w:before="312" w:after="312"/>
        <w:rPr>
          <w:kern w:val="2"/>
          <w:szCs w:val="21"/>
        </w:rPr>
      </w:pPr>
      <w:bookmarkStart w:id="62" w:name="_Toc145925187"/>
      <w:bookmarkStart w:id="63" w:name="_Toc145925233"/>
      <w:r>
        <w:rPr>
          <w:rFonts w:hint="eastAsia"/>
        </w:rPr>
        <w:t>评估结论及报告</w:t>
      </w:r>
      <w:bookmarkEnd w:id="62"/>
      <w:bookmarkEnd w:id="63"/>
    </w:p>
    <w:p w:rsidR="00BF0D87" w:rsidRDefault="00BF0D87" w:rsidP="00BF0D87">
      <w:pPr>
        <w:pStyle w:val="affffffffe"/>
        <w:rPr>
          <w:szCs w:val="21"/>
        </w:rPr>
      </w:pPr>
      <w:r>
        <w:rPr>
          <w:rFonts w:hint="eastAsia"/>
        </w:rPr>
        <w:t>超设计使用年限电站热力系统压力容器安全评估完成后，评估人员应逐台给出评估结论并出具评估报告，报告格式可参照附录A执行。</w:t>
      </w:r>
    </w:p>
    <w:p w:rsidR="009273B3" w:rsidRDefault="00BF0D87" w:rsidP="00BF0D87">
      <w:pPr>
        <w:pStyle w:val="affffffffe"/>
        <w:rPr>
          <w:kern w:val="2"/>
          <w:szCs w:val="21"/>
        </w:rPr>
      </w:pPr>
      <w:r>
        <w:rPr>
          <w:rFonts w:hint="eastAsia"/>
        </w:rPr>
        <w:t>评估结论包括超设计使用年限电站热力系统压力容器的损伤模式及其与预期使用寿命的相关度</w:t>
      </w:r>
      <w:r>
        <w:rPr>
          <w:rFonts w:hint="eastAsia"/>
          <w:kern w:val="2"/>
          <w:szCs w:val="21"/>
        </w:rPr>
        <w:t>。</w:t>
      </w:r>
    </w:p>
    <w:p w:rsidR="00BF0D87" w:rsidRDefault="00BF0D87" w:rsidP="00BF0D87">
      <w:pPr>
        <w:pStyle w:val="affffffffe"/>
        <w:rPr>
          <w:kern w:val="2"/>
          <w:szCs w:val="21"/>
        </w:rPr>
        <w:sectPr w:rsidR="00BF0D87" w:rsidSect="00591E27">
          <w:pgSz w:w="11906" w:h="16838" w:code="9"/>
          <w:pgMar w:top="2410" w:right="1134" w:bottom="1134" w:left="1134" w:header="1418" w:footer="1134" w:gutter="284"/>
          <w:pgNumType w:start="1"/>
          <w:cols w:space="425"/>
          <w:formProt w:val="0"/>
          <w:docGrid w:type="lines" w:linePitch="312"/>
        </w:sectPr>
      </w:pPr>
    </w:p>
    <w:p w:rsidR="00BF0D87" w:rsidRDefault="00BF0D87" w:rsidP="00BF0D87">
      <w:pPr>
        <w:pStyle w:val="af8"/>
      </w:pPr>
      <w:bookmarkStart w:id="64" w:name="BookMark5"/>
      <w:bookmarkEnd w:id="25"/>
    </w:p>
    <w:p w:rsidR="00BF0D87" w:rsidRDefault="00BF0D87" w:rsidP="00BF0D87">
      <w:pPr>
        <w:pStyle w:val="afe"/>
      </w:pPr>
    </w:p>
    <w:p w:rsidR="00BF0D87" w:rsidRDefault="00BF0D87" w:rsidP="00BF0D87">
      <w:pPr>
        <w:pStyle w:val="aff3"/>
        <w:spacing w:before="78" w:after="156"/>
      </w:pPr>
      <w:r>
        <w:br/>
      </w:r>
      <w:bookmarkStart w:id="65" w:name="_Toc145925188"/>
      <w:bookmarkStart w:id="66" w:name="_Toc145925234"/>
      <w:r>
        <w:rPr>
          <w:rFonts w:hint="eastAsia"/>
        </w:rPr>
        <w:t>（规范性）</w:t>
      </w:r>
      <w:r>
        <w:br/>
      </w:r>
      <w:r>
        <w:rPr>
          <w:rFonts w:hint="eastAsia"/>
        </w:rPr>
        <w:t>超设计使用年限电站热力系统压力容器安全评估报告</w:t>
      </w:r>
      <w:bookmarkEnd w:id="65"/>
      <w:bookmarkEnd w:id="66"/>
    </w:p>
    <w:p w:rsidR="00BF0D87" w:rsidRPr="00BF0D87" w:rsidRDefault="00BF0D87" w:rsidP="00BF0D87">
      <w:pPr>
        <w:pStyle w:val="affffb"/>
        <w:ind w:firstLine="420"/>
      </w:pPr>
      <w:r>
        <w:rPr>
          <w:rFonts w:hint="eastAsia"/>
        </w:rPr>
        <w:t>超设计使用年限电站热力系统安全评估报告见表A</w:t>
      </w:r>
      <w:r>
        <w:t>.1</w:t>
      </w:r>
    </w:p>
    <w:p w:rsidR="00BF0D87" w:rsidRDefault="00BF0D87" w:rsidP="00BF0D87">
      <w:pPr>
        <w:pStyle w:val="aff"/>
        <w:spacing w:before="156" w:after="156"/>
      </w:pPr>
      <w:r>
        <w:rPr>
          <w:rFonts w:hint="eastAsia"/>
        </w:rPr>
        <w:t>超设计使用年限电站热力系统压力容器安全评估报告</w:t>
      </w:r>
    </w:p>
    <w:p w:rsidR="00BF0D87" w:rsidRPr="00BF0D87" w:rsidRDefault="00BF0D87" w:rsidP="00BF0D87">
      <w:pPr>
        <w:pStyle w:val="affffb"/>
        <w:ind w:right="840" w:firstLineChars="3200" w:firstLine="6720"/>
      </w:pPr>
      <w:r>
        <w:rPr>
          <w:rFonts w:hint="eastAsia"/>
        </w:rPr>
        <w:t>报告编号：</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BF0D87" w:rsidTr="00BF0D87">
        <w:trPr>
          <w:tblHeader/>
          <w:jc w:val="center"/>
        </w:trPr>
        <w:tc>
          <w:tcPr>
            <w:tcW w:w="9334" w:type="dxa"/>
            <w:gridSpan w:val="4"/>
            <w:tcBorders>
              <w:top w:val="single" w:sz="8" w:space="0" w:color="auto"/>
              <w:bottom w:val="single" w:sz="8" w:space="0" w:color="auto"/>
            </w:tcBorders>
            <w:shd w:val="clear" w:color="auto" w:fill="auto"/>
            <w:vAlign w:val="center"/>
          </w:tcPr>
          <w:p w:rsidR="00BF0D87" w:rsidRDefault="00BF0D87" w:rsidP="00BF0D87">
            <w:pPr>
              <w:snapToGrid w:val="0"/>
            </w:pPr>
            <w:r>
              <w:rPr>
                <w:rFonts w:ascii="宋体" w:hAnsi="宋体" w:hint="eastAsia"/>
                <w:b/>
                <w:sz w:val="18"/>
                <w:szCs w:val="18"/>
              </w:rPr>
              <w:t>技术资料</w:t>
            </w:r>
          </w:p>
        </w:tc>
      </w:tr>
      <w:tr w:rsidR="00BF0D87" w:rsidTr="00BF0D87">
        <w:trPr>
          <w:jc w:val="center"/>
        </w:trPr>
        <w:tc>
          <w:tcPr>
            <w:tcW w:w="2334" w:type="dxa"/>
            <w:tcBorders>
              <w:top w:val="single" w:sz="8" w:space="0" w:color="auto"/>
            </w:tcBorders>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容器名称</w:t>
            </w:r>
          </w:p>
        </w:tc>
        <w:tc>
          <w:tcPr>
            <w:tcW w:w="2333" w:type="dxa"/>
            <w:tcBorders>
              <w:top w:val="single" w:sz="8" w:space="0" w:color="auto"/>
            </w:tcBorders>
            <w:shd w:val="clear" w:color="auto" w:fill="auto"/>
            <w:vAlign w:val="center"/>
          </w:tcPr>
          <w:p w:rsidR="00BF0D87" w:rsidRPr="00BF0D87" w:rsidRDefault="00BF0D87" w:rsidP="00BF0D87">
            <w:pPr>
              <w:pStyle w:val="afffffffff9"/>
              <w:rPr>
                <w:rFonts w:hAnsi="宋体"/>
              </w:rPr>
            </w:pPr>
          </w:p>
        </w:tc>
        <w:tc>
          <w:tcPr>
            <w:tcW w:w="2333" w:type="dxa"/>
            <w:tcBorders>
              <w:top w:val="single" w:sz="8" w:space="0" w:color="auto"/>
            </w:tcBorders>
            <w:shd w:val="clear" w:color="auto" w:fill="auto"/>
            <w:vAlign w:val="center"/>
          </w:tcPr>
          <w:p w:rsidR="00BF0D87" w:rsidRPr="00BF0D87" w:rsidRDefault="00BF0D87" w:rsidP="00BF0D87">
            <w:pPr>
              <w:pStyle w:val="afffffffff9"/>
              <w:rPr>
                <w:rFonts w:hAnsi="宋体"/>
              </w:rPr>
            </w:pPr>
            <w:r w:rsidRPr="00BF0D87">
              <w:rPr>
                <w:rFonts w:hAnsi="宋体" w:hint="eastAsia"/>
                <w:bCs/>
                <w:iCs/>
                <w:spacing w:val="-20"/>
                <w:szCs w:val="18"/>
              </w:rPr>
              <w:t>投入使用日期</w:t>
            </w:r>
          </w:p>
        </w:tc>
        <w:tc>
          <w:tcPr>
            <w:tcW w:w="2334" w:type="dxa"/>
            <w:tcBorders>
              <w:top w:val="single" w:sz="8" w:space="0" w:color="auto"/>
            </w:tcBorders>
            <w:shd w:val="clear" w:color="auto" w:fill="auto"/>
            <w:vAlign w:val="center"/>
          </w:tcPr>
          <w:p w:rsidR="00BF0D87" w:rsidRDefault="00BF0D87" w:rsidP="00BF0D87">
            <w:pPr>
              <w:pStyle w:val="afffffffff9"/>
            </w:pPr>
          </w:p>
        </w:tc>
      </w:tr>
      <w:tr w:rsidR="00BF0D87" w:rsidTr="000D384E">
        <w:trPr>
          <w:jc w:val="center"/>
        </w:trPr>
        <w:tc>
          <w:tcPr>
            <w:tcW w:w="2334"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设计单位</w:t>
            </w:r>
          </w:p>
        </w:tc>
        <w:tc>
          <w:tcPr>
            <w:tcW w:w="2333" w:type="dxa"/>
            <w:shd w:val="clear" w:color="auto" w:fill="auto"/>
          </w:tcPr>
          <w:p w:rsidR="00BF0D87" w:rsidRPr="00BF0D87" w:rsidRDefault="00BF0D87" w:rsidP="00BF0D87">
            <w:pPr>
              <w:pStyle w:val="afffffffff9"/>
              <w:rPr>
                <w:rFonts w:hAnsi="宋体"/>
              </w:rPr>
            </w:pPr>
          </w:p>
        </w:tc>
        <w:tc>
          <w:tcPr>
            <w:tcW w:w="2333" w:type="dxa"/>
            <w:shd w:val="clear" w:color="auto" w:fill="auto"/>
            <w:vAlign w:val="center"/>
          </w:tcPr>
          <w:p w:rsidR="00BF0D87" w:rsidRPr="00B670D5" w:rsidRDefault="00BF0D87" w:rsidP="00BF0D87">
            <w:pPr>
              <w:pStyle w:val="afffffffff9"/>
              <w:rPr>
                <w:rFonts w:hAnsi="宋体"/>
              </w:rPr>
            </w:pPr>
            <w:r w:rsidRPr="00B670D5">
              <w:rPr>
                <w:rFonts w:hAnsi="宋体" w:hint="eastAsia"/>
                <w:bCs/>
                <w:spacing w:val="-20"/>
                <w:kern w:val="2"/>
                <w:szCs w:val="18"/>
              </w:rPr>
              <w:t>设计使用年限</w:t>
            </w:r>
          </w:p>
        </w:tc>
        <w:tc>
          <w:tcPr>
            <w:tcW w:w="2334" w:type="dxa"/>
            <w:shd w:val="clear" w:color="auto" w:fill="auto"/>
            <w:vAlign w:val="center"/>
          </w:tcPr>
          <w:p w:rsidR="00BF0D87" w:rsidRDefault="00BF0D87" w:rsidP="00BF0D87">
            <w:pPr>
              <w:pStyle w:val="afffffffff9"/>
            </w:pPr>
          </w:p>
        </w:tc>
      </w:tr>
      <w:tr w:rsidR="00BF0D87" w:rsidTr="000D384E">
        <w:trPr>
          <w:jc w:val="center"/>
        </w:trPr>
        <w:tc>
          <w:tcPr>
            <w:tcW w:w="2334"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制造单位</w:t>
            </w:r>
          </w:p>
        </w:tc>
        <w:tc>
          <w:tcPr>
            <w:tcW w:w="2333" w:type="dxa"/>
            <w:shd w:val="clear" w:color="auto" w:fill="auto"/>
          </w:tcPr>
          <w:p w:rsidR="00BF0D87" w:rsidRPr="00BF0D87" w:rsidRDefault="00BF0D87" w:rsidP="00BF0D87">
            <w:pPr>
              <w:pStyle w:val="afffffffff9"/>
              <w:rPr>
                <w:rFonts w:hAnsi="宋体"/>
              </w:rPr>
            </w:pPr>
          </w:p>
        </w:tc>
        <w:tc>
          <w:tcPr>
            <w:tcW w:w="2333" w:type="dxa"/>
            <w:shd w:val="clear" w:color="auto" w:fill="auto"/>
            <w:vAlign w:val="center"/>
          </w:tcPr>
          <w:p w:rsidR="00BF0D87" w:rsidRPr="00B670D5" w:rsidRDefault="00BF0D87" w:rsidP="00BF0D87">
            <w:pPr>
              <w:pStyle w:val="afffffffff9"/>
              <w:rPr>
                <w:rFonts w:hAnsi="宋体"/>
              </w:rPr>
            </w:pPr>
            <w:r w:rsidRPr="00B670D5">
              <w:rPr>
                <w:rFonts w:hAnsi="宋体" w:hint="eastAsia"/>
                <w:bCs/>
                <w:kern w:val="2"/>
                <w:szCs w:val="18"/>
              </w:rPr>
              <w:t>出厂编号</w:t>
            </w:r>
          </w:p>
        </w:tc>
        <w:tc>
          <w:tcPr>
            <w:tcW w:w="2334" w:type="dxa"/>
            <w:shd w:val="clear" w:color="auto" w:fill="auto"/>
            <w:vAlign w:val="center"/>
          </w:tcPr>
          <w:p w:rsidR="00BF0D87" w:rsidRDefault="00BF0D87" w:rsidP="00BF0D87">
            <w:pPr>
              <w:pStyle w:val="afffffffff9"/>
            </w:pPr>
          </w:p>
        </w:tc>
      </w:tr>
      <w:tr w:rsidR="00BF0D87" w:rsidTr="00BF0D87">
        <w:trPr>
          <w:jc w:val="center"/>
        </w:trPr>
        <w:tc>
          <w:tcPr>
            <w:tcW w:w="2334"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设备代码</w:t>
            </w:r>
          </w:p>
        </w:tc>
        <w:tc>
          <w:tcPr>
            <w:tcW w:w="2333" w:type="dxa"/>
            <w:shd w:val="clear" w:color="auto" w:fill="auto"/>
            <w:vAlign w:val="center"/>
          </w:tcPr>
          <w:p w:rsidR="00BF0D87" w:rsidRPr="00BF0D87" w:rsidRDefault="00BF0D87" w:rsidP="00BF0D87">
            <w:pPr>
              <w:pStyle w:val="afffffffff9"/>
              <w:rPr>
                <w:rFonts w:hAnsi="宋体"/>
              </w:rPr>
            </w:pPr>
          </w:p>
        </w:tc>
        <w:tc>
          <w:tcPr>
            <w:tcW w:w="2333" w:type="dxa"/>
            <w:shd w:val="clear" w:color="auto" w:fill="auto"/>
            <w:vAlign w:val="center"/>
          </w:tcPr>
          <w:p w:rsidR="00BF0D87" w:rsidRPr="00BF0D87" w:rsidRDefault="00BF0D87" w:rsidP="00BF0D87">
            <w:pPr>
              <w:pStyle w:val="afffffffff9"/>
              <w:rPr>
                <w:rFonts w:hAnsi="宋体"/>
              </w:rPr>
            </w:pPr>
            <w:r w:rsidRPr="00BF0D87">
              <w:rPr>
                <w:rFonts w:hAnsi="宋体" w:hint="eastAsia"/>
                <w:szCs w:val="18"/>
              </w:rPr>
              <w:t>使用登记证编号</w:t>
            </w:r>
          </w:p>
        </w:tc>
        <w:tc>
          <w:tcPr>
            <w:tcW w:w="2334" w:type="dxa"/>
            <w:shd w:val="clear" w:color="auto" w:fill="auto"/>
            <w:vAlign w:val="center"/>
          </w:tcPr>
          <w:p w:rsidR="00BF0D87" w:rsidRDefault="00BF0D87" w:rsidP="00BF0D87">
            <w:pPr>
              <w:pStyle w:val="afffffffff9"/>
            </w:pPr>
          </w:p>
        </w:tc>
      </w:tr>
      <w:tr w:rsidR="00BF0D87" w:rsidTr="00BF0D87">
        <w:trPr>
          <w:jc w:val="center"/>
        </w:trPr>
        <w:tc>
          <w:tcPr>
            <w:tcW w:w="2334"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容器高/长</w:t>
            </w:r>
          </w:p>
        </w:tc>
        <w:tc>
          <w:tcPr>
            <w:tcW w:w="2333" w:type="dxa"/>
            <w:shd w:val="clear" w:color="auto" w:fill="auto"/>
            <w:vAlign w:val="center"/>
          </w:tcPr>
          <w:p w:rsidR="00BF0D87" w:rsidRPr="00BF0D87" w:rsidRDefault="00BF0D87" w:rsidP="00BF0D87">
            <w:pPr>
              <w:pStyle w:val="afffffffff9"/>
              <w:rPr>
                <w:rFonts w:hAnsi="宋体"/>
              </w:rPr>
            </w:pPr>
          </w:p>
        </w:tc>
        <w:tc>
          <w:tcPr>
            <w:tcW w:w="2333"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pacing w:val="-20"/>
                <w:szCs w:val="18"/>
              </w:rPr>
              <w:t>容积(换热面</w:t>
            </w:r>
            <w:r w:rsidRPr="00BF0D87">
              <w:rPr>
                <w:rFonts w:hAnsi="宋体" w:hint="eastAsia"/>
                <w:bCs/>
                <w:iCs/>
                <w:szCs w:val="18"/>
              </w:rPr>
              <w:t>积)</w:t>
            </w:r>
          </w:p>
        </w:tc>
        <w:tc>
          <w:tcPr>
            <w:tcW w:w="2334" w:type="dxa"/>
            <w:shd w:val="clear" w:color="auto" w:fill="auto"/>
            <w:vAlign w:val="center"/>
          </w:tcPr>
          <w:p w:rsidR="00BF0D87" w:rsidRDefault="00BF0D87" w:rsidP="00BF0D87">
            <w:pPr>
              <w:pStyle w:val="afffffffff9"/>
            </w:pPr>
          </w:p>
        </w:tc>
      </w:tr>
      <w:tr w:rsidR="00BF0D87" w:rsidTr="00BF0D87">
        <w:trPr>
          <w:jc w:val="center"/>
        </w:trPr>
        <w:tc>
          <w:tcPr>
            <w:tcW w:w="2334"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材质</w:t>
            </w:r>
          </w:p>
        </w:tc>
        <w:tc>
          <w:tcPr>
            <w:tcW w:w="2333" w:type="dxa"/>
            <w:shd w:val="clear" w:color="auto" w:fill="auto"/>
            <w:vAlign w:val="center"/>
          </w:tcPr>
          <w:p w:rsidR="00BF0D87" w:rsidRPr="00BF0D87" w:rsidRDefault="00BF0D87" w:rsidP="00BF0D87">
            <w:pPr>
              <w:pStyle w:val="afffffffff9"/>
              <w:rPr>
                <w:rFonts w:hAnsi="宋体"/>
              </w:rPr>
            </w:pPr>
          </w:p>
        </w:tc>
        <w:tc>
          <w:tcPr>
            <w:tcW w:w="2333"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规格</w:t>
            </w:r>
          </w:p>
        </w:tc>
        <w:tc>
          <w:tcPr>
            <w:tcW w:w="2334" w:type="dxa"/>
            <w:shd w:val="clear" w:color="auto" w:fill="auto"/>
            <w:vAlign w:val="center"/>
          </w:tcPr>
          <w:p w:rsidR="00BF0D87" w:rsidRDefault="00BF0D87" w:rsidP="00BF0D87">
            <w:pPr>
              <w:pStyle w:val="afffffffff9"/>
            </w:pPr>
          </w:p>
        </w:tc>
      </w:tr>
      <w:tr w:rsidR="00BF0D87" w:rsidTr="00BF0D87">
        <w:trPr>
          <w:jc w:val="center"/>
        </w:trPr>
        <w:tc>
          <w:tcPr>
            <w:tcW w:w="2334"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设计压力</w:t>
            </w:r>
          </w:p>
        </w:tc>
        <w:tc>
          <w:tcPr>
            <w:tcW w:w="2333" w:type="dxa"/>
            <w:shd w:val="clear" w:color="auto" w:fill="auto"/>
            <w:vAlign w:val="center"/>
          </w:tcPr>
          <w:p w:rsidR="00BF0D87" w:rsidRPr="00BF0D87" w:rsidRDefault="00BF0D87" w:rsidP="00BF0D87">
            <w:pPr>
              <w:pStyle w:val="afffffffff9"/>
              <w:rPr>
                <w:rFonts w:hAnsi="宋体"/>
              </w:rPr>
            </w:pPr>
          </w:p>
        </w:tc>
        <w:tc>
          <w:tcPr>
            <w:tcW w:w="2333"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工作压力</w:t>
            </w:r>
          </w:p>
        </w:tc>
        <w:tc>
          <w:tcPr>
            <w:tcW w:w="2334" w:type="dxa"/>
            <w:shd w:val="clear" w:color="auto" w:fill="auto"/>
            <w:vAlign w:val="center"/>
          </w:tcPr>
          <w:p w:rsidR="00BF0D87" w:rsidRDefault="00BF0D87" w:rsidP="00BF0D87">
            <w:pPr>
              <w:pStyle w:val="afffffffff9"/>
            </w:pPr>
          </w:p>
        </w:tc>
      </w:tr>
      <w:tr w:rsidR="00BF0D87" w:rsidTr="00BF0D87">
        <w:trPr>
          <w:jc w:val="center"/>
        </w:trPr>
        <w:tc>
          <w:tcPr>
            <w:tcW w:w="2334"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设计温度</w:t>
            </w:r>
          </w:p>
        </w:tc>
        <w:tc>
          <w:tcPr>
            <w:tcW w:w="2333" w:type="dxa"/>
            <w:shd w:val="clear" w:color="auto" w:fill="auto"/>
            <w:vAlign w:val="center"/>
          </w:tcPr>
          <w:p w:rsidR="00BF0D87" w:rsidRPr="00BF0D87" w:rsidRDefault="00BF0D87" w:rsidP="00BF0D87">
            <w:pPr>
              <w:pStyle w:val="afffffffff9"/>
              <w:rPr>
                <w:rFonts w:hAnsi="宋体"/>
              </w:rPr>
            </w:pPr>
          </w:p>
        </w:tc>
        <w:tc>
          <w:tcPr>
            <w:tcW w:w="2333"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工作温度</w:t>
            </w:r>
          </w:p>
        </w:tc>
        <w:tc>
          <w:tcPr>
            <w:tcW w:w="2334" w:type="dxa"/>
            <w:shd w:val="clear" w:color="auto" w:fill="auto"/>
            <w:vAlign w:val="center"/>
          </w:tcPr>
          <w:p w:rsidR="00BF0D87" w:rsidRDefault="00BF0D87" w:rsidP="00BF0D87">
            <w:pPr>
              <w:pStyle w:val="afffffffff9"/>
            </w:pPr>
          </w:p>
        </w:tc>
      </w:tr>
      <w:tr w:rsidR="00BF0D87" w:rsidTr="00BF0D87">
        <w:trPr>
          <w:jc w:val="center"/>
        </w:trPr>
        <w:tc>
          <w:tcPr>
            <w:tcW w:w="2334"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工作介质</w:t>
            </w:r>
          </w:p>
        </w:tc>
        <w:tc>
          <w:tcPr>
            <w:tcW w:w="2333" w:type="dxa"/>
            <w:shd w:val="clear" w:color="auto" w:fill="auto"/>
            <w:vAlign w:val="center"/>
          </w:tcPr>
          <w:p w:rsidR="00BF0D87" w:rsidRPr="00BF0D87" w:rsidRDefault="00BF0D87" w:rsidP="00BF0D87">
            <w:pPr>
              <w:pStyle w:val="afffffffff9"/>
              <w:rPr>
                <w:rFonts w:hAnsi="宋体"/>
              </w:rPr>
            </w:pPr>
          </w:p>
        </w:tc>
        <w:tc>
          <w:tcPr>
            <w:tcW w:w="2333" w:type="dxa"/>
            <w:shd w:val="clear" w:color="auto" w:fill="auto"/>
            <w:vAlign w:val="center"/>
          </w:tcPr>
          <w:p w:rsidR="00BF0D87" w:rsidRPr="00BF0D87" w:rsidRDefault="00BF0D87" w:rsidP="00BF0D87">
            <w:pPr>
              <w:pStyle w:val="afffffffff9"/>
              <w:rPr>
                <w:rFonts w:hAnsi="宋体"/>
              </w:rPr>
            </w:pPr>
            <w:r w:rsidRPr="00BF0D87">
              <w:rPr>
                <w:rFonts w:hAnsi="宋体" w:hint="eastAsia"/>
                <w:bCs/>
                <w:iCs/>
                <w:szCs w:val="18"/>
              </w:rPr>
              <w:t>评估日期</w:t>
            </w:r>
          </w:p>
        </w:tc>
        <w:tc>
          <w:tcPr>
            <w:tcW w:w="2334" w:type="dxa"/>
            <w:shd w:val="clear" w:color="auto" w:fill="auto"/>
            <w:vAlign w:val="center"/>
          </w:tcPr>
          <w:p w:rsidR="00BF0D87" w:rsidRDefault="00BF0D87" w:rsidP="00BF0D87">
            <w:pPr>
              <w:pStyle w:val="afffffffff9"/>
            </w:pPr>
          </w:p>
        </w:tc>
      </w:tr>
      <w:tr w:rsidR="00B670D5" w:rsidTr="003B563E">
        <w:trPr>
          <w:jc w:val="center"/>
        </w:trPr>
        <w:tc>
          <w:tcPr>
            <w:tcW w:w="9334" w:type="dxa"/>
            <w:gridSpan w:val="4"/>
            <w:shd w:val="clear" w:color="auto" w:fill="auto"/>
            <w:vAlign w:val="center"/>
          </w:tcPr>
          <w:p w:rsidR="00B670D5" w:rsidRPr="00B670D5" w:rsidRDefault="00B670D5" w:rsidP="00B670D5">
            <w:pPr>
              <w:pStyle w:val="11"/>
            </w:pPr>
            <w:r>
              <w:rPr>
                <w:rFonts w:ascii="宋体" w:hAnsi="宋体" w:hint="eastAsia"/>
                <w:b/>
                <w:sz w:val="18"/>
                <w:szCs w:val="18"/>
              </w:rPr>
              <w:t>运行工况条件下可能发生的损伤</w:t>
            </w:r>
          </w:p>
        </w:tc>
      </w:tr>
      <w:tr w:rsidR="00B670D5" w:rsidTr="00152923">
        <w:trPr>
          <w:jc w:val="center"/>
        </w:trPr>
        <w:tc>
          <w:tcPr>
            <w:tcW w:w="2334" w:type="dxa"/>
            <w:shd w:val="clear" w:color="auto" w:fill="auto"/>
            <w:vAlign w:val="center"/>
          </w:tcPr>
          <w:p w:rsidR="00B670D5" w:rsidRPr="00B670D5" w:rsidRDefault="00B670D5" w:rsidP="00B670D5">
            <w:pPr>
              <w:pStyle w:val="afffffffff9"/>
            </w:pPr>
            <w:r w:rsidRPr="00B670D5">
              <w:rPr>
                <w:rFonts w:hAnsi="宋体" w:hint="eastAsia"/>
                <w:kern w:val="2"/>
                <w:szCs w:val="18"/>
              </w:rPr>
              <w:t>损伤模式</w:t>
            </w:r>
          </w:p>
        </w:tc>
        <w:tc>
          <w:tcPr>
            <w:tcW w:w="2333" w:type="dxa"/>
            <w:shd w:val="clear" w:color="auto" w:fill="auto"/>
            <w:vAlign w:val="center"/>
          </w:tcPr>
          <w:p w:rsidR="00B670D5" w:rsidRPr="00B670D5" w:rsidRDefault="00B670D5" w:rsidP="00B670D5">
            <w:pPr>
              <w:pStyle w:val="afffffffff9"/>
            </w:pPr>
            <w:r w:rsidRPr="00B670D5">
              <w:rPr>
                <w:rFonts w:hAnsi="宋体" w:hint="eastAsia"/>
                <w:kern w:val="2"/>
                <w:szCs w:val="18"/>
              </w:rPr>
              <w:t>损伤模式识别</w:t>
            </w:r>
          </w:p>
        </w:tc>
        <w:tc>
          <w:tcPr>
            <w:tcW w:w="4667" w:type="dxa"/>
            <w:gridSpan w:val="2"/>
            <w:shd w:val="clear" w:color="auto" w:fill="auto"/>
            <w:vAlign w:val="center"/>
          </w:tcPr>
          <w:p w:rsidR="00B670D5" w:rsidRPr="00B670D5" w:rsidRDefault="00B670D5" w:rsidP="00B670D5">
            <w:pPr>
              <w:pStyle w:val="afffffffff9"/>
            </w:pPr>
            <w:r w:rsidRPr="00B670D5">
              <w:rPr>
                <w:rFonts w:hAnsi="宋体" w:hint="eastAsia"/>
                <w:kern w:val="2"/>
                <w:szCs w:val="18"/>
              </w:rPr>
              <w:t>与预期寿命相关度</w:t>
            </w:r>
          </w:p>
        </w:tc>
      </w:tr>
      <w:tr w:rsidR="00B670D5" w:rsidTr="00FB327C">
        <w:trPr>
          <w:trHeight w:val="489"/>
          <w:jc w:val="center"/>
        </w:trPr>
        <w:tc>
          <w:tcPr>
            <w:tcW w:w="2334" w:type="dxa"/>
            <w:shd w:val="clear" w:color="auto" w:fill="auto"/>
            <w:vAlign w:val="center"/>
          </w:tcPr>
          <w:p w:rsidR="00B670D5" w:rsidRPr="00B670D5" w:rsidRDefault="00B670D5" w:rsidP="00B670D5">
            <w:pPr>
              <w:pStyle w:val="afffffffff9"/>
            </w:pPr>
            <w:r w:rsidRPr="00B670D5">
              <w:rPr>
                <w:rFonts w:hAnsi="宋体" w:hint="eastAsia"/>
                <w:bCs/>
                <w:color w:val="000000"/>
                <w:szCs w:val="18"/>
              </w:rPr>
              <w:t>冲刷、腐蚀减薄</w:t>
            </w:r>
          </w:p>
        </w:tc>
        <w:tc>
          <w:tcPr>
            <w:tcW w:w="2333" w:type="dxa"/>
            <w:shd w:val="clear" w:color="auto" w:fill="auto"/>
            <w:vAlign w:val="center"/>
          </w:tcPr>
          <w:p w:rsidR="00B670D5" w:rsidRPr="00B670D5" w:rsidRDefault="00B670D5" w:rsidP="00B670D5">
            <w:pPr>
              <w:pStyle w:val="afffffffff9"/>
            </w:pPr>
            <w:r w:rsidRPr="00B670D5">
              <w:rPr>
                <w:rFonts w:hAnsi="宋体" w:hint="eastAsia"/>
                <w:szCs w:val="18"/>
              </w:rPr>
              <w:t>□</w:t>
            </w:r>
            <w:r w:rsidRPr="00B670D5">
              <w:rPr>
                <w:rFonts w:hAnsi="宋体" w:hint="eastAsia"/>
                <w:color w:val="000000"/>
                <w:szCs w:val="18"/>
              </w:rPr>
              <w:t>有</w:t>
            </w:r>
            <w:r>
              <w:rPr>
                <w:rFonts w:hAnsi="宋体" w:hint="eastAsia"/>
                <w:color w:val="000000"/>
                <w:szCs w:val="18"/>
              </w:rPr>
              <w:t xml:space="preserve"> </w:t>
            </w:r>
            <w:r w:rsidRPr="00B670D5">
              <w:rPr>
                <w:rFonts w:hAnsi="宋体" w:hint="eastAsia"/>
                <w:szCs w:val="18"/>
              </w:rPr>
              <w:t>□</w:t>
            </w:r>
            <w:r w:rsidRPr="00B670D5">
              <w:rPr>
                <w:rFonts w:hAnsi="宋体" w:hint="eastAsia"/>
                <w:color w:val="000000"/>
                <w:szCs w:val="18"/>
              </w:rPr>
              <w:t>无</w:t>
            </w:r>
          </w:p>
        </w:tc>
        <w:tc>
          <w:tcPr>
            <w:tcW w:w="4667" w:type="dxa"/>
            <w:gridSpan w:val="2"/>
            <w:shd w:val="clear" w:color="auto" w:fill="auto"/>
            <w:vAlign w:val="center"/>
          </w:tcPr>
          <w:p w:rsidR="00B670D5" w:rsidRPr="00B670D5" w:rsidRDefault="00B670D5" w:rsidP="00B670D5">
            <w:pPr>
              <w:pStyle w:val="afffffffff9"/>
            </w:pPr>
          </w:p>
        </w:tc>
      </w:tr>
      <w:tr w:rsidR="00B670D5" w:rsidTr="00FB327C">
        <w:trPr>
          <w:trHeight w:val="425"/>
          <w:jc w:val="center"/>
        </w:trPr>
        <w:tc>
          <w:tcPr>
            <w:tcW w:w="2334" w:type="dxa"/>
            <w:shd w:val="clear" w:color="auto" w:fill="auto"/>
            <w:vAlign w:val="center"/>
          </w:tcPr>
          <w:p w:rsidR="00B670D5" w:rsidRPr="00B670D5" w:rsidRDefault="00B670D5" w:rsidP="00B670D5">
            <w:pPr>
              <w:pStyle w:val="afffffffff9"/>
            </w:pPr>
            <w:r w:rsidRPr="00B670D5">
              <w:rPr>
                <w:rFonts w:hAnsi="宋体" w:hint="eastAsia"/>
                <w:bCs/>
                <w:color w:val="000000"/>
                <w:szCs w:val="18"/>
              </w:rPr>
              <w:t>疲劳</w:t>
            </w:r>
          </w:p>
        </w:tc>
        <w:tc>
          <w:tcPr>
            <w:tcW w:w="2333" w:type="dxa"/>
            <w:shd w:val="clear" w:color="auto" w:fill="auto"/>
            <w:vAlign w:val="center"/>
          </w:tcPr>
          <w:p w:rsidR="00B670D5" w:rsidRPr="00B670D5" w:rsidRDefault="00B670D5" w:rsidP="00B670D5">
            <w:pPr>
              <w:pStyle w:val="afffffffff9"/>
            </w:pPr>
            <w:r w:rsidRPr="00B670D5">
              <w:rPr>
                <w:rFonts w:hAnsi="宋体" w:hint="eastAsia"/>
                <w:szCs w:val="18"/>
              </w:rPr>
              <w:t>□</w:t>
            </w:r>
            <w:r w:rsidRPr="00B670D5">
              <w:rPr>
                <w:rFonts w:hAnsi="宋体" w:hint="eastAsia"/>
                <w:color w:val="000000"/>
                <w:szCs w:val="18"/>
              </w:rPr>
              <w:t xml:space="preserve">有 </w:t>
            </w:r>
            <w:r w:rsidRPr="00B670D5">
              <w:rPr>
                <w:rFonts w:hAnsi="宋体" w:hint="eastAsia"/>
                <w:szCs w:val="18"/>
              </w:rPr>
              <w:t>□</w:t>
            </w:r>
            <w:r w:rsidRPr="00B670D5">
              <w:rPr>
                <w:rFonts w:hAnsi="宋体" w:hint="eastAsia"/>
                <w:color w:val="000000"/>
                <w:szCs w:val="18"/>
              </w:rPr>
              <w:t>无</w:t>
            </w:r>
          </w:p>
        </w:tc>
        <w:tc>
          <w:tcPr>
            <w:tcW w:w="4667" w:type="dxa"/>
            <w:gridSpan w:val="2"/>
            <w:shd w:val="clear" w:color="auto" w:fill="auto"/>
            <w:vAlign w:val="center"/>
          </w:tcPr>
          <w:p w:rsidR="00B670D5" w:rsidRPr="00B670D5" w:rsidRDefault="00B670D5" w:rsidP="00B670D5">
            <w:pPr>
              <w:pStyle w:val="afffffffff9"/>
            </w:pPr>
          </w:p>
        </w:tc>
      </w:tr>
      <w:tr w:rsidR="00B670D5" w:rsidTr="00FB327C">
        <w:trPr>
          <w:trHeight w:val="419"/>
          <w:jc w:val="center"/>
        </w:trPr>
        <w:tc>
          <w:tcPr>
            <w:tcW w:w="2334" w:type="dxa"/>
            <w:shd w:val="clear" w:color="auto" w:fill="auto"/>
            <w:vAlign w:val="center"/>
          </w:tcPr>
          <w:p w:rsidR="00B670D5" w:rsidRPr="00B670D5" w:rsidRDefault="00B670D5" w:rsidP="00B670D5">
            <w:pPr>
              <w:pStyle w:val="afffffffff9"/>
            </w:pPr>
            <w:r w:rsidRPr="00B670D5">
              <w:rPr>
                <w:rFonts w:hAnsi="宋体" w:hint="eastAsia"/>
                <w:bCs/>
                <w:color w:val="000000"/>
                <w:szCs w:val="18"/>
              </w:rPr>
              <w:t>蠕变</w:t>
            </w:r>
          </w:p>
        </w:tc>
        <w:tc>
          <w:tcPr>
            <w:tcW w:w="2333" w:type="dxa"/>
            <w:shd w:val="clear" w:color="auto" w:fill="auto"/>
            <w:vAlign w:val="center"/>
          </w:tcPr>
          <w:p w:rsidR="00B670D5" w:rsidRPr="00B670D5" w:rsidRDefault="00B670D5" w:rsidP="00B670D5">
            <w:pPr>
              <w:pStyle w:val="afffffffff9"/>
            </w:pPr>
            <w:r w:rsidRPr="00B670D5">
              <w:rPr>
                <w:rFonts w:hAnsi="宋体" w:hint="eastAsia"/>
                <w:szCs w:val="18"/>
              </w:rPr>
              <w:t>□</w:t>
            </w:r>
            <w:r w:rsidRPr="00B670D5">
              <w:rPr>
                <w:rFonts w:hAnsi="宋体" w:hint="eastAsia"/>
                <w:color w:val="000000"/>
                <w:szCs w:val="18"/>
              </w:rPr>
              <w:t xml:space="preserve">有 </w:t>
            </w:r>
            <w:r w:rsidRPr="00B670D5">
              <w:rPr>
                <w:rFonts w:hAnsi="宋体" w:hint="eastAsia"/>
                <w:szCs w:val="18"/>
              </w:rPr>
              <w:t>□</w:t>
            </w:r>
            <w:r w:rsidRPr="00B670D5">
              <w:rPr>
                <w:rFonts w:hAnsi="宋体" w:hint="eastAsia"/>
                <w:color w:val="000000"/>
                <w:szCs w:val="18"/>
              </w:rPr>
              <w:t>无</w:t>
            </w:r>
          </w:p>
        </w:tc>
        <w:tc>
          <w:tcPr>
            <w:tcW w:w="4667" w:type="dxa"/>
            <w:gridSpan w:val="2"/>
            <w:shd w:val="clear" w:color="auto" w:fill="auto"/>
            <w:vAlign w:val="center"/>
          </w:tcPr>
          <w:p w:rsidR="00B670D5" w:rsidRPr="00B670D5" w:rsidRDefault="00B670D5" w:rsidP="00B670D5">
            <w:pPr>
              <w:pStyle w:val="afffffffff9"/>
            </w:pPr>
          </w:p>
        </w:tc>
      </w:tr>
      <w:tr w:rsidR="00B670D5" w:rsidTr="005456F3">
        <w:trPr>
          <w:jc w:val="center"/>
        </w:trPr>
        <w:tc>
          <w:tcPr>
            <w:tcW w:w="2334" w:type="dxa"/>
            <w:shd w:val="clear" w:color="auto" w:fill="auto"/>
            <w:vAlign w:val="center"/>
          </w:tcPr>
          <w:p w:rsidR="00B670D5" w:rsidRPr="00B670D5" w:rsidRDefault="00B670D5" w:rsidP="00B670D5">
            <w:pPr>
              <w:pStyle w:val="afffffffff9"/>
            </w:pPr>
            <w:r w:rsidRPr="00B670D5">
              <w:rPr>
                <w:rFonts w:hAnsi="宋体" w:hint="eastAsia"/>
                <w:bCs/>
                <w:color w:val="000000"/>
                <w:szCs w:val="18"/>
              </w:rPr>
              <w:t>材料高温性能劣化</w:t>
            </w:r>
          </w:p>
        </w:tc>
        <w:tc>
          <w:tcPr>
            <w:tcW w:w="2333" w:type="dxa"/>
            <w:shd w:val="clear" w:color="auto" w:fill="auto"/>
            <w:vAlign w:val="center"/>
          </w:tcPr>
          <w:p w:rsidR="00B670D5" w:rsidRPr="00B670D5" w:rsidRDefault="00B670D5" w:rsidP="00B670D5">
            <w:pPr>
              <w:pStyle w:val="afffffffff9"/>
            </w:pPr>
            <w:r w:rsidRPr="00B670D5">
              <w:rPr>
                <w:rFonts w:hAnsi="宋体" w:hint="eastAsia"/>
                <w:szCs w:val="18"/>
              </w:rPr>
              <w:t>□</w:t>
            </w:r>
            <w:r w:rsidRPr="00B670D5">
              <w:rPr>
                <w:rFonts w:hAnsi="宋体" w:hint="eastAsia"/>
                <w:color w:val="000000"/>
                <w:szCs w:val="18"/>
              </w:rPr>
              <w:t xml:space="preserve">有 </w:t>
            </w:r>
            <w:r w:rsidRPr="00B670D5">
              <w:rPr>
                <w:rFonts w:hAnsi="宋体" w:hint="eastAsia"/>
                <w:szCs w:val="18"/>
              </w:rPr>
              <w:t>□</w:t>
            </w:r>
            <w:r w:rsidRPr="00B670D5">
              <w:rPr>
                <w:rFonts w:hAnsi="宋体" w:hint="eastAsia"/>
                <w:color w:val="000000"/>
                <w:szCs w:val="18"/>
              </w:rPr>
              <w:t>无</w:t>
            </w:r>
          </w:p>
        </w:tc>
        <w:tc>
          <w:tcPr>
            <w:tcW w:w="4667" w:type="dxa"/>
            <w:gridSpan w:val="2"/>
            <w:shd w:val="clear" w:color="auto" w:fill="auto"/>
            <w:vAlign w:val="center"/>
          </w:tcPr>
          <w:p w:rsidR="00B670D5" w:rsidRPr="00B670D5" w:rsidRDefault="00B670D5" w:rsidP="00B670D5">
            <w:pPr>
              <w:pStyle w:val="afffffffff9"/>
            </w:pPr>
          </w:p>
        </w:tc>
      </w:tr>
      <w:tr w:rsidR="00B670D5" w:rsidTr="00337A91">
        <w:trPr>
          <w:jc w:val="center"/>
        </w:trPr>
        <w:tc>
          <w:tcPr>
            <w:tcW w:w="9334" w:type="dxa"/>
            <w:gridSpan w:val="4"/>
            <w:shd w:val="clear" w:color="auto" w:fill="auto"/>
            <w:vAlign w:val="center"/>
          </w:tcPr>
          <w:p w:rsidR="00B670D5" w:rsidRDefault="00B670D5" w:rsidP="00B670D5">
            <w:pPr>
              <w:pStyle w:val="11"/>
            </w:pPr>
            <w:r>
              <w:rPr>
                <w:rFonts w:ascii="宋体" w:hAnsi="宋体" w:hint="eastAsia"/>
                <w:bCs/>
                <w:sz w:val="18"/>
                <w:szCs w:val="18"/>
              </w:rPr>
              <w:t>评估结论及建议：</w:t>
            </w:r>
          </w:p>
          <w:p w:rsidR="00B670D5" w:rsidRDefault="00B670D5" w:rsidP="00BF0D87">
            <w:pPr>
              <w:pStyle w:val="afffffffff9"/>
            </w:pPr>
          </w:p>
          <w:p w:rsidR="00B670D5" w:rsidRDefault="00B670D5" w:rsidP="00BF0D87">
            <w:pPr>
              <w:pStyle w:val="afffffffff9"/>
            </w:pPr>
          </w:p>
          <w:p w:rsidR="00B670D5" w:rsidRDefault="00B670D5" w:rsidP="00BF0D87">
            <w:pPr>
              <w:pStyle w:val="afffffffff9"/>
            </w:pPr>
          </w:p>
          <w:p w:rsidR="00B670D5" w:rsidRDefault="00B670D5" w:rsidP="00BF0D87">
            <w:pPr>
              <w:pStyle w:val="afffffffff9"/>
            </w:pPr>
          </w:p>
          <w:p w:rsidR="00B670D5" w:rsidRDefault="00B670D5" w:rsidP="00BF0D87">
            <w:pPr>
              <w:pStyle w:val="afffffffff9"/>
            </w:pPr>
          </w:p>
          <w:p w:rsidR="00B670D5" w:rsidRDefault="00B670D5" w:rsidP="00BF0D87">
            <w:pPr>
              <w:pStyle w:val="afffffffff9"/>
            </w:pPr>
          </w:p>
          <w:p w:rsidR="00B670D5" w:rsidRDefault="00B670D5" w:rsidP="00BF0D87">
            <w:pPr>
              <w:pStyle w:val="afffffffff9"/>
            </w:pPr>
          </w:p>
          <w:p w:rsidR="00B670D5" w:rsidRDefault="00B670D5" w:rsidP="00FB327C">
            <w:pPr>
              <w:pStyle w:val="afffffffff9"/>
              <w:jc w:val="both"/>
            </w:pPr>
          </w:p>
        </w:tc>
      </w:tr>
      <w:tr w:rsidR="00B670D5" w:rsidTr="00A610E3">
        <w:trPr>
          <w:jc w:val="center"/>
        </w:trPr>
        <w:tc>
          <w:tcPr>
            <w:tcW w:w="4667" w:type="dxa"/>
            <w:gridSpan w:val="2"/>
            <w:shd w:val="clear" w:color="auto" w:fill="auto"/>
            <w:vAlign w:val="center"/>
          </w:tcPr>
          <w:p w:rsidR="00B670D5" w:rsidRDefault="00B670D5" w:rsidP="00B670D5">
            <w:pPr>
              <w:pStyle w:val="11"/>
            </w:pPr>
            <w:r>
              <w:rPr>
                <w:rFonts w:ascii="宋体" w:hAnsi="宋体" w:hint="eastAsia"/>
                <w:sz w:val="18"/>
                <w:szCs w:val="18"/>
              </w:rPr>
              <w:t>评估人员：                      日期：</w:t>
            </w:r>
          </w:p>
        </w:tc>
        <w:tc>
          <w:tcPr>
            <w:tcW w:w="4667" w:type="dxa"/>
            <w:gridSpan w:val="2"/>
            <w:shd w:val="clear" w:color="auto" w:fill="auto"/>
            <w:vAlign w:val="center"/>
          </w:tcPr>
          <w:p w:rsidR="00B670D5" w:rsidRDefault="00B670D5" w:rsidP="00B670D5">
            <w:pPr>
              <w:pStyle w:val="11"/>
            </w:pPr>
            <w:r>
              <w:rPr>
                <w:rFonts w:ascii="宋体" w:hAnsi="宋体" w:hint="eastAsia"/>
                <w:bCs/>
                <w:sz w:val="18"/>
                <w:szCs w:val="18"/>
              </w:rPr>
              <w:t>审核人员：                      日期：</w:t>
            </w:r>
          </w:p>
        </w:tc>
      </w:tr>
    </w:tbl>
    <w:p w:rsidR="00BF0D87" w:rsidRDefault="00FB327C" w:rsidP="00FB327C">
      <w:pPr>
        <w:pStyle w:val="affffb"/>
        <w:ind w:firstLineChars="0" w:firstLine="0"/>
        <w:jc w:val="center"/>
      </w:pPr>
      <w:bookmarkStart w:id="67" w:name="BookMark8"/>
      <w:bookmarkEnd w:id="64"/>
      <w:r>
        <w:rPr>
          <w:rFonts w:hint="eastAsia"/>
        </w:rPr>
        <w:drawing>
          <wp:inline distT="0" distB="0" distL="0" distR="0">
            <wp:extent cx="1485900" cy="317500"/>
            <wp:effectExtent l="0" t="0" r="0" b="6350"/>
            <wp:docPr id="723702166" name="图片 1"/>
            <wp:cNvGraphicFramePr/>
            <a:graphic xmlns:a="http://schemas.openxmlformats.org/drawingml/2006/main">
              <a:graphicData uri="http://schemas.openxmlformats.org/drawingml/2006/picture">
                <pic:pic xmlns:pic="http://schemas.openxmlformats.org/drawingml/2006/picture">
                  <pic:nvPicPr>
                    <pic:cNvPr id="72370216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rsidR="00BF0D87" w:rsidSect="00BF0D87">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317" w:rsidRDefault="00703317" w:rsidP="00D86DB7">
      <w:r>
        <w:separator/>
      </w:r>
    </w:p>
    <w:p w:rsidR="00703317" w:rsidRDefault="00703317"/>
    <w:p w:rsidR="00703317" w:rsidRDefault="00703317"/>
  </w:endnote>
  <w:endnote w:type="continuationSeparator" w:id="0">
    <w:p w:rsidR="00703317" w:rsidRDefault="00703317" w:rsidP="00D86DB7">
      <w:r>
        <w:continuationSeparator/>
      </w:r>
    </w:p>
    <w:p w:rsidR="00703317" w:rsidRDefault="00703317"/>
    <w:p w:rsidR="00703317" w:rsidRDefault="00703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Default="006C7EF6">
    <w:pPr>
      <w:pStyle w:val="afffb"/>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87" w:rsidRDefault="00BF0D87">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D6" w:rsidRDefault="006C7EF6" w:rsidP="00C94DF2">
    <w:pPr>
      <w:pStyle w:val="affff8"/>
    </w:pPr>
    <w:r>
      <w:fldChar w:fldCharType="begin"/>
    </w:r>
    <w:r w:rsidR="000C57D6">
      <w:instrText>PAGE   \* MERGEFORMAT</w:instrText>
    </w:r>
    <w:r>
      <w:fldChar w:fldCharType="separate"/>
    </w:r>
    <w:r w:rsidR="007921F5" w:rsidRPr="007921F5">
      <w:rPr>
        <w:noProof/>
        <w:lang w:val="zh-CN"/>
      </w:rPr>
      <w:t>2</w:t>
    </w:r>
    <w:r>
      <w:fldChar w:fldCharType="end"/>
    </w:r>
  </w:p>
  <w:p w:rsidR="006C7EF6" w:rsidRDefault="006C7EF6"/>
  <w:p w:rsidR="006C7EF6" w:rsidRDefault="006C7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317" w:rsidRDefault="00703317" w:rsidP="00D86DB7">
      <w:r>
        <w:separator/>
      </w:r>
    </w:p>
  </w:footnote>
  <w:footnote w:type="continuationSeparator" w:id="0">
    <w:p w:rsidR="00703317" w:rsidRDefault="00703317" w:rsidP="00D86DB7">
      <w:r>
        <w:continuationSeparator/>
      </w:r>
    </w:p>
    <w:p w:rsidR="00703317" w:rsidRDefault="00703317"/>
    <w:p w:rsidR="00703317" w:rsidRDefault="00703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D87" w:rsidRDefault="00BF0D87">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58" w:rsidRPr="005F4712" w:rsidRDefault="00703317" w:rsidP="00714F58">
    <w:pPr>
      <w:pStyle w:val="afff9"/>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02A33">
      <w:rPr>
        <w:noProof/>
        <w:lang w:val="fr-FR"/>
      </w:rPr>
      <w:t>DB XX/T XXXX—XXXX</w:t>
    </w:r>
    <w:r>
      <w:rPr>
        <w:noProof/>
        <w:lang w:val="fr-FR"/>
      </w:rPr>
      <w:fldChar w:fldCharType="end"/>
    </w:r>
  </w:p>
  <w:p w:rsidR="006C7EF6" w:rsidRDefault="006C7EF6"/>
  <w:p w:rsidR="006C7EF6" w:rsidRDefault="006C7E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FA1" w:rsidRPr="00D84FA1" w:rsidRDefault="00703317" w:rsidP="00A2271D">
    <w:pPr>
      <w:pStyle w:val="afffff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D62E3">
      <w:t>DB 14/T XXXX</w:t>
    </w:r>
    <w:r w:rsidR="00CD62E3">
      <w:t>—</w:t>
    </w:r>
    <w:r w:rsidR="00CD62E3">
      <w:t>XXXX</w:t>
    </w:r>
    <w:r>
      <w:fldChar w:fldCharType="end"/>
    </w:r>
  </w:p>
  <w:p w:rsidR="006C7EF6" w:rsidRDefault="006C7EF6"/>
  <w:p w:rsidR="006C7EF6" w:rsidRDefault="006C7E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sW2GBZHKHsEjuveoo7iHJypFY76ybAQb+uUDNrx+hY7LTKdBQapHkVgIMhVfjJbugkYgf0dQi3BBYjRdiG3knw==" w:salt="Q2xuwxv4WXfIWEHhePrHE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2A3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7AF"/>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4F39"/>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055"/>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EF6"/>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3317"/>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1F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216"/>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670D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0D87"/>
    <w:rsid w:val="00BF10A9"/>
    <w:rsid w:val="00BF1703"/>
    <w:rsid w:val="00BF231C"/>
    <w:rsid w:val="00BF51E5"/>
    <w:rsid w:val="00BF74A6"/>
    <w:rsid w:val="00C013AD"/>
    <w:rsid w:val="00C02A33"/>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2E3"/>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27C"/>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972E2B-E4C6-4915-8AA2-7D60F14D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afterLines="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afterLines="0"/>
      <w:outlineLvl w:val="9"/>
    </w:pPr>
    <w:rPr>
      <w:rFonts w:ascii="宋体" w:eastAsia="宋体"/>
    </w:rPr>
  </w:style>
  <w:style w:type="paragraph" w:customStyle="1" w:styleId="afffffffff">
    <w:name w:val="标准文件_五级无标题"/>
    <w:basedOn w:val="afff1"/>
    <w:qFormat/>
    <w:rsid w:val="00BA263B"/>
    <w:pPr>
      <w:spacing w:beforeLines="0" w:afterLines="0"/>
      <w:outlineLvl w:val="9"/>
    </w:pPr>
    <w:rPr>
      <w:rFonts w:ascii="宋体" w:eastAsia="宋体"/>
    </w:rPr>
  </w:style>
  <w:style w:type="paragraph" w:customStyle="1" w:styleId="afffffffff0">
    <w:name w:val="标准文件_三级无标题"/>
    <w:basedOn w:val="afff"/>
    <w:qFormat/>
    <w:rsid w:val="00BA263B"/>
    <w:pPr>
      <w:spacing w:beforeLines="0" w:afterLines="0"/>
      <w:outlineLvl w:val="9"/>
    </w:pPr>
    <w:rPr>
      <w:rFonts w:ascii="宋体" w:eastAsia="宋体"/>
    </w:rPr>
  </w:style>
  <w:style w:type="paragraph" w:customStyle="1" w:styleId="afffffffff1">
    <w:name w:val="标准文件_二级无标题"/>
    <w:basedOn w:val="affe"/>
    <w:qFormat/>
    <w:rsid w:val="00BA263B"/>
    <w:pPr>
      <w:spacing w:beforeLines="0" w:afterLines="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afterLines="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a">
    <w:name w:val="标准文件_附录二级无标题"/>
    <w:basedOn w:val="aff5"/>
    <w:rsid w:val="009D6BCA"/>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843C13"/>
    <w:pPr>
      <w:spacing w:beforeLines="0" w:afterLines="0" w:line="276" w:lineRule="auto"/>
    </w:pPr>
    <w:rPr>
      <w:rFonts w:ascii="宋体" w:eastAsia="宋体"/>
    </w:rPr>
  </w:style>
  <w:style w:type="paragraph" w:customStyle="1" w:styleId="afffffffffff0">
    <w:name w:val="标准文件_引言三级无标题"/>
    <w:basedOn w:val="a9"/>
    <w:next w:val="affffb"/>
    <w:qFormat/>
    <w:rsid w:val="00534BDF"/>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534BDF"/>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534BDF"/>
    <w:pPr>
      <w:spacing w:beforeLines="0" w:afterLines="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1">
    <w:name w:val="正文1"/>
    <w:rsid w:val="00C02A33"/>
    <w:pPr>
      <w:jc w:val="both"/>
    </w:pPr>
    <w:rPr>
      <w:rFonts w:ascii="Times New Roman" w:hAnsi="Times New Roman"/>
      <w:kern w:val="2"/>
      <w:sz w:val="21"/>
      <w:szCs w:val="21"/>
    </w:rPr>
  </w:style>
  <w:style w:type="paragraph" w:customStyle="1" w:styleId="afffffffffffb">
    <w:name w:val="段"/>
    <w:basedOn w:val="afff5"/>
    <w:rsid w:val="00FB327C"/>
    <w:pPr>
      <w:widowControl/>
      <w:autoSpaceDE w:val="0"/>
      <w:autoSpaceDN w:val="0"/>
      <w:adjustRightInd/>
      <w:spacing w:line="240" w:lineRule="auto"/>
      <w:ind w:firstLineChars="200" w:firstLine="420"/>
    </w:pPr>
    <w:rPr>
      <w:rFonts w:ascii="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29">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1686995">
      <w:bodyDiv w:val="1"/>
      <w:marLeft w:val="0"/>
      <w:marRight w:val="0"/>
      <w:marTop w:val="0"/>
      <w:marBottom w:val="0"/>
      <w:divBdr>
        <w:top w:val="none" w:sz="0" w:space="0" w:color="auto"/>
        <w:left w:val="none" w:sz="0" w:space="0" w:color="auto"/>
        <w:bottom w:val="none" w:sz="0" w:space="0" w:color="auto"/>
        <w:right w:val="none" w:sz="0" w:space="0" w:color="auto"/>
      </w:divBdr>
    </w:div>
    <w:div w:id="160119584">
      <w:bodyDiv w:val="1"/>
      <w:marLeft w:val="0"/>
      <w:marRight w:val="0"/>
      <w:marTop w:val="0"/>
      <w:marBottom w:val="0"/>
      <w:divBdr>
        <w:top w:val="none" w:sz="0" w:space="0" w:color="auto"/>
        <w:left w:val="none" w:sz="0" w:space="0" w:color="auto"/>
        <w:bottom w:val="none" w:sz="0" w:space="0" w:color="auto"/>
        <w:right w:val="none" w:sz="0" w:space="0" w:color="auto"/>
      </w:divBdr>
    </w:div>
    <w:div w:id="299963167">
      <w:bodyDiv w:val="1"/>
      <w:marLeft w:val="0"/>
      <w:marRight w:val="0"/>
      <w:marTop w:val="0"/>
      <w:marBottom w:val="0"/>
      <w:divBdr>
        <w:top w:val="none" w:sz="0" w:space="0" w:color="auto"/>
        <w:left w:val="none" w:sz="0" w:space="0" w:color="auto"/>
        <w:bottom w:val="none" w:sz="0" w:space="0" w:color="auto"/>
        <w:right w:val="none" w:sz="0" w:space="0" w:color="auto"/>
      </w:divBdr>
    </w:div>
    <w:div w:id="313726717">
      <w:bodyDiv w:val="1"/>
      <w:marLeft w:val="0"/>
      <w:marRight w:val="0"/>
      <w:marTop w:val="0"/>
      <w:marBottom w:val="0"/>
      <w:divBdr>
        <w:top w:val="none" w:sz="0" w:space="0" w:color="auto"/>
        <w:left w:val="none" w:sz="0" w:space="0" w:color="auto"/>
        <w:bottom w:val="none" w:sz="0" w:space="0" w:color="auto"/>
        <w:right w:val="none" w:sz="0" w:space="0" w:color="auto"/>
      </w:divBdr>
    </w:div>
    <w:div w:id="318073083">
      <w:bodyDiv w:val="1"/>
      <w:marLeft w:val="0"/>
      <w:marRight w:val="0"/>
      <w:marTop w:val="0"/>
      <w:marBottom w:val="0"/>
      <w:divBdr>
        <w:top w:val="none" w:sz="0" w:space="0" w:color="auto"/>
        <w:left w:val="none" w:sz="0" w:space="0" w:color="auto"/>
        <w:bottom w:val="none" w:sz="0" w:space="0" w:color="auto"/>
        <w:right w:val="none" w:sz="0" w:space="0" w:color="auto"/>
      </w:divBdr>
    </w:div>
    <w:div w:id="334000594">
      <w:bodyDiv w:val="1"/>
      <w:marLeft w:val="0"/>
      <w:marRight w:val="0"/>
      <w:marTop w:val="0"/>
      <w:marBottom w:val="0"/>
      <w:divBdr>
        <w:top w:val="none" w:sz="0" w:space="0" w:color="auto"/>
        <w:left w:val="none" w:sz="0" w:space="0" w:color="auto"/>
        <w:bottom w:val="none" w:sz="0" w:space="0" w:color="auto"/>
        <w:right w:val="none" w:sz="0" w:space="0" w:color="auto"/>
      </w:divBdr>
    </w:div>
    <w:div w:id="338971418">
      <w:bodyDiv w:val="1"/>
      <w:marLeft w:val="0"/>
      <w:marRight w:val="0"/>
      <w:marTop w:val="0"/>
      <w:marBottom w:val="0"/>
      <w:divBdr>
        <w:top w:val="none" w:sz="0" w:space="0" w:color="auto"/>
        <w:left w:val="none" w:sz="0" w:space="0" w:color="auto"/>
        <w:bottom w:val="none" w:sz="0" w:space="0" w:color="auto"/>
        <w:right w:val="none" w:sz="0" w:space="0" w:color="auto"/>
      </w:divBdr>
    </w:div>
    <w:div w:id="355617300">
      <w:bodyDiv w:val="1"/>
      <w:marLeft w:val="0"/>
      <w:marRight w:val="0"/>
      <w:marTop w:val="0"/>
      <w:marBottom w:val="0"/>
      <w:divBdr>
        <w:top w:val="none" w:sz="0" w:space="0" w:color="auto"/>
        <w:left w:val="none" w:sz="0" w:space="0" w:color="auto"/>
        <w:bottom w:val="none" w:sz="0" w:space="0" w:color="auto"/>
        <w:right w:val="none" w:sz="0" w:space="0" w:color="auto"/>
      </w:divBdr>
    </w:div>
    <w:div w:id="408036940">
      <w:bodyDiv w:val="1"/>
      <w:marLeft w:val="0"/>
      <w:marRight w:val="0"/>
      <w:marTop w:val="0"/>
      <w:marBottom w:val="0"/>
      <w:divBdr>
        <w:top w:val="none" w:sz="0" w:space="0" w:color="auto"/>
        <w:left w:val="none" w:sz="0" w:space="0" w:color="auto"/>
        <w:bottom w:val="none" w:sz="0" w:space="0" w:color="auto"/>
        <w:right w:val="none" w:sz="0" w:space="0" w:color="auto"/>
      </w:divBdr>
    </w:div>
    <w:div w:id="414591382">
      <w:bodyDiv w:val="1"/>
      <w:marLeft w:val="0"/>
      <w:marRight w:val="0"/>
      <w:marTop w:val="0"/>
      <w:marBottom w:val="0"/>
      <w:divBdr>
        <w:top w:val="none" w:sz="0" w:space="0" w:color="auto"/>
        <w:left w:val="none" w:sz="0" w:space="0" w:color="auto"/>
        <w:bottom w:val="none" w:sz="0" w:space="0" w:color="auto"/>
        <w:right w:val="none" w:sz="0" w:space="0" w:color="auto"/>
      </w:divBdr>
    </w:div>
    <w:div w:id="447942045">
      <w:bodyDiv w:val="1"/>
      <w:marLeft w:val="0"/>
      <w:marRight w:val="0"/>
      <w:marTop w:val="0"/>
      <w:marBottom w:val="0"/>
      <w:divBdr>
        <w:top w:val="none" w:sz="0" w:space="0" w:color="auto"/>
        <w:left w:val="none" w:sz="0" w:space="0" w:color="auto"/>
        <w:bottom w:val="none" w:sz="0" w:space="0" w:color="auto"/>
        <w:right w:val="none" w:sz="0" w:space="0" w:color="auto"/>
      </w:divBdr>
    </w:div>
    <w:div w:id="510147533">
      <w:bodyDiv w:val="1"/>
      <w:marLeft w:val="0"/>
      <w:marRight w:val="0"/>
      <w:marTop w:val="0"/>
      <w:marBottom w:val="0"/>
      <w:divBdr>
        <w:top w:val="none" w:sz="0" w:space="0" w:color="auto"/>
        <w:left w:val="none" w:sz="0" w:space="0" w:color="auto"/>
        <w:bottom w:val="none" w:sz="0" w:space="0" w:color="auto"/>
        <w:right w:val="none" w:sz="0" w:space="0" w:color="auto"/>
      </w:divBdr>
    </w:div>
    <w:div w:id="519389929">
      <w:bodyDiv w:val="1"/>
      <w:marLeft w:val="0"/>
      <w:marRight w:val="0"/>
      <w:marTop w:val="0"/>
      <w:marBottom w:val="0"/>
      <w:divBdr>
        <w:top w:val="none" w:sz="0" w:space="0" w:color="auto"/>
        <w:left w:val="none" w:sz="0" w:space="0" w:color="auto"/>
        <w:bottom w:val="none" w:sz="0" w:space="0" w:color="auto"/>
        <w:right w:val="none" w:sz="0" w:space="0" w:color="auto"/>
      </w:divBdr>
    </w:div>
    <w:div w:id="529025816">
      <w:bodyDiv w:val="1"/>
      <w:marLeft w:val="0"/>
      <w:marRight w:val="0"/>
      <w:marTop w:val="0"/>
      <w:marBottom w:val="0"/>
      <w:divBdr>
        <w:top w:val="none" w:sz="0" w:space="0" w:color="auto"/>
        <w:left w:val="none" w:sz="0" w:space="0" w:color="auto"/>
        <w:bottom w:val="none" w:sz="0" w:space="0" w:color="auto"/>
        <w:right w:val="none" w:sz="0" w:space="0" w:color="auto"/>
      </w:divBdr>
    </w:div>
    <w:div w:id="591857539">
      <w:bodyDiv w:val="1"/>
      <w:marLeft w:val="0"/>
      <w:marRight w:val="0"/>
      <w:marTop w:val="0"/>
      <w:marBottom w:val="0"/>
      <w:divBdr>
        <w:top w:val="none" w:sz="0" w:space="0" w:color="auto"/>
        <w:left w:val="none" w:sz="0" w:space="0" w:color="auto"/>
        <w:bottom w:val="none" w:sz="0" w:space="0" w:color="auto"/>
        <w:right w:val="none" w:sz="0" w:space="0" w:color="auto"/>
      </w:divBdr>
    </w:div>
    <w:div w:id="627853697">
      <w:bodyDiv w:val="1"/>
      <w:marLeft w:val="0"/>
      <w:marRight w:val="0"/>
      <w:marTop w:val="0"/>
      <w:marBottom w:val="0"/>
      <w:divBdr>
        <w:top w:val="none" w:sz="0" w:space="0" w:color="auto"/>
        <w:left w:val="none" w:sz="0" w:space="0" w:color="auto"/>
        <w:bottom w:val="none" w:sz="0" w:space="0" w:color="auto"/>
        <w:right w:val="none" w:sz="0" w:space="0" w:color="auto"/>
      </w:divBdr>
    </w:div>
    <w:div w:id="646973870">
      <w:bodyDiv w:val="1"/>
      <w:marLeft w:val="0"/>
      <w:marRight w:val="0"/>
      <w:marTop w:val="0"/>
      <w:marBottom w:val="0"/>
      <w:divBdr>
        <w:top w:val="none" w:sz="0" w:space="0" w:color="auto"/>
        <w:left w:val="none" w:sz="0" w:space="0" w:color="auto"/>
        <w:bottom w:val="none" w:sz="0" w:space="0" w:color="auto"/>
        <w:right w:val="none" w:sz="0" w:space="0" w:color="auto"/>
      </w:divBdr>
    </w:div>
    <w:div w:id="700059305">
      <w:bodyDiv w:val="1"/>
      <w:marLeft w:val="0"/>
      <w:marRight w:val="0"/>
      <w:marTop w:val="0"/>
      <w:marBottom w:val="0"/>
      <w:divBdr>
        <w:top w:val="none" w:sz="0" w:space="0" w:color="auto"/>
        <w:left w:val="none" w:sz="0" w:space="0" w:color="auto"/>
        <w:bottom w:val="none" w:sz="0" w:space="0" w:color="auto"/>
        <w:right w:val="none" w:sz="0" w:space="0" w:color="auto"/>
      </w:divBdr>
    </w:div>
    <w:div w:id="712923661">
      <w:bodyDiv w:val="1"/>
      <w:marLeft w:val="0"/>
      <w:marRight w:val="0"/>
      <w:marTop w:val="0"/>
      <w:marBottom w:val="0"/>
      <w:divBdr>
        <w:top w:val="none" w:sz="0" w:space="0" w:color="auto"/>
        <w:left w:val="none" w:sz="0" w:space="0" w:color="auto"/>
        <w:bottom w:val="none" w:sz="0" w:space="0" w:color="auto"/>
        <w:right w:val="none" w:sz="0" w:space="0" w:color="auto"/>
      </w:divBdr>
    </w:div>
    <w:div w:id="720595617">
      <w:bodyDiv w:val="1"/>
      <w:marLeft w:val="0"/>
      <w:marRight w:val="0"/>
      <w:marTop w:val="0"/>
      <w:marBottom w:val="0"/>
      <w:divBdr>
        <w:top w:val="none" w:sz="0" w:space="0" w:color="auto"/>
        <w:left w:val="none" w:sz="0" w:space="0" w:color="auto"/>
        <w:bottom w:val="none" w:sz="0" w:space="0" w:color="auto"/>
        <w:right w:val="none" w:sz="0" w:space="0" w:color="auto"/>
      </w:divBdr>
    </w:div>
    <w:div w:id="759374170">
      <w:bodyDiv w:val="1"/>
      <w:marLeft w:val="0"/>
      <w:marRight w:val="0"/>
      <w:marTop w:val="0"/>
      <w:marBottom w:val="0"/>
      <w:divBdr>
        <w:top w:val="none" w:sz="0" w:space="0" w:color="auto"/>
        <w:left w:val="none" w:sz="0" w:space="0" w:color="auto"/>
        <w:bottom w:val="none" w:sz="0" w:space="0" w:color="auto"/>
        <w:right w:val="none" w:sz="0" w:space="0" w:color="auto"/>
      </w:divBdr>
    </w:div>
    <w:div w:id="765465316">
      <w:bodyDiv w:val="1"/>
      <w:marLeft w:val="0"/>
      <w:marRight w:val="0"/>
      <w:marTop w:val="0"/>
      <w:marBottom w:val="0"/>
      <w:divBdr>
        <w:top w:val="none" w:sz="0" w:space="0" w:color="auto"/>
        <w:left w:val="none" w:sz="0" w:space="0" w:color="auto"/>
        <w:bottom w:val="none" w:sz="0" w:space="0" w:color="auto"/>
        <w:right w:val="none" w:sz="0" w:space="0" w:color="auto"/>
      </w:divBdr>
    </w:div>
    <w:div w:id="811824076">
      <w:bodyDiv w:val="1"/>
      <w:marLeft w:val="0"/>
      <w:marRight w:val="0"/>
      <w:marTop w:val="0"/>
      <w:marBottom w:val="0"/>
      <w:divBdr>
        <w:top w:val="none" w:sz="0" w:space="0" w:color="auto"/>
        <w:left w:val="none" w:sz="0" w:space="0" w:color="auto"/>
        <w:bottom w:val="none" w:sz="0" w:space="0" w:color="auto"/>
        <w:right w:val="none" w:sz="0" w:space="0" w:color="auto"/>
      </w:divBdr>
    </w:div>
    <w:div w:id="822085676">
      <w:bodyDiv w:val="1"/>
      <w:marLeft w:val="0"/>
      <w:marRight w:val="0"/>
      <w:marTop w:val="0"/>
      <w:marBottom w:val="0"/>
      <w:divBdr>
        <w:top w:val="none" w:sz="0" w:space="0" w:color="auto"/>
        <w:left w:val="none" w:sz="0" w:space="0" w:color="auto"/>
        <w:bottom w:val="none" w:sz="0" w:space="0" w:color="auto"/>
        <w:right w:val="none" w:sz="0" w:space="0" w:color="auto"/>
      </w:divBdr>
    </w:div>
    <w:div w:id="849871216">
      <w:bodyDiv w:val="1"/>
      <w:marLeft w:val="0"/>
      <w:marRight w:val="0"/>
      <w:marTop w:val="0"/>
      <w:marBottom w:val="0"/>
      <w:divBdr>
        <w:top w:val="none" w:sz="0" w:space="0" w:color="auto"/>
        <w:left w:val="none" w:sz="0" w:space="0" w:color="auto"/>
        <w:bottom w:val="none" w:sz="0" w:space="0" w:color="auto"/>
        <w:right w:val="none" w:sz="0" w:space="0" w:color="auto"/>
      </w:divBdr>
    </w:div>
    <w:div w:id="871914497">
      <w:bodyDiv w:val="1"/>
      <w:marLeft w:val="0"/>
      <w:marRight w:val="0"/>
      <w:marTop w:val="0"/>
      <w:marBottom w:val="0"/>
      <w:divBdr>
        <w:top w:val="none" w:sz="0" w:space="0" w:color="auto"/>
        <w:left w:val="none" w:sz="0" w:space="0" w:color="auto"/>
        <w:bottom w:val="none" w:sz="0" w:space="0" w:color="auto"/>
        <w:right w:val="none" w:sz="0" w:space="0" w:color="auto"/>
      </w:divBdr>
    </w:div>
    <w:div w:id="987897860">
      <w:bodyDiv w:val="1"/>
      <w:marLeft w:val="0"/>
      <w:marRight w:val="0"/>
      <w:marTop w:val="0"/>
      <w:marBottom w:val="0"/>
      <w:divBdr>
        <w:top w:val="none" w:sz="0" w:space="0" w:color="auto"/>
        <w:left w:val="none" w:sz="0" w:space="0" w:color="auto"/>
        <w:bottom w:val="none" w:sz="0" w:space="0" w:color="auto"/>
        <w:right w:val="none" w:sz="0" w:space="0" w:color="auto"/>
      </w:divBdr>
    </w:div>
    <w:div w:id="1057128040">
      <w:bodyDiv w:val="1"/>
      <w:marLeft w:val="0"/>
      <w:marRight w:val="0"/>
      <w:marTop w:val="0"/>
      <w:marBottom w:val="0"/>
      <w:divBdr>
        <w:top w:val="none" w:sz="0" w:space="0" w:color="auto"/>
        <w:left w:val="none" w:sz="0" w:space="0" w:color="auto"/>
        <w:bottom w:val="none" w:sz="0" w:space="0" w:color="auto"/>
        <w:right w:val="none" w:sz="0" w:space="0" w:color="auto"/>
      </w:divBdr>
    </w:div>
    <w:div w:id="1059012549">
      <w:bodyDiv w:val="1"/>
      <w:marLeft w:val="0"/>
      <w:marRight w:val="0"/>
      <w:marTop w:val="0"/>
      <w:marBottom w:val="0"/>
      <w:divBdr>
        <w:top w:val="none" w:sz="0" w:space="0" w:color="auto"/>
        <w:left w:val="none" w:sz="0" w:space="0" w:color="auto"/>
        <w:bottom w:val="none" w:sz="0" w:space="0" w:color="auto"/>
        <w:right w:val="none" w:sz="0" w:space="0" w:color="auto"/>
      </w:divBdr>
    </w:div>
    <w:div w:id="1081440977">
      <w:bodyDiv w:val="1"/>
      <w:marLeft w:val="0"/>
      <w:marRight w:val="0"/>
      <w:marTop w:val="0"/>
      <w:marBottom w:val="0"/>
      <w:divBdr>
        <w:top w:val="none" w:sz="0" w:space="0" w:color="auto"/>
        <w:left w:val="none" w:sz="0" w:space="0" w:color="auto"/>
        <w:bottom w:val="none" w:sz="0" w:space="0" w:color="auto"/>
        <w:right w:val="none" w:sz="0" w:space="0" w:color="auto"/>
      </w:divBdr>
    </w:div>
    <w:div w:id="1109853569">
      <w:bodyDiv w:val="1"/>
      <w:marLeft w:val="0"/>
      <w:marRight w:val="0"/>
      <w:marTop w:val="0"/>
      <w:marBottom w:val="0"/>
      <w:divBdr>
        <w:top w:val="none" w:sz="0" w:space="0" w:color="auto"/>
        <w:left w:val="none" w:sz="0" w:space="0" w:color="auto"/>
        <w:bottom w:val="none" w:sz="0" w:space="0" w:color="auto"/>
        <w:right w:val="none" w:sz="0" w:space="0" w:color="auto"/>
      </w:divBdr>
    </w:div>
    <w:div w:id="1148015283">
      <w:bodyDiv w:val="1"/>
      <w:marLeft w:val="0"/>
      <w:marRight w:val="0"/>
      <w:marTop w:val="0"/>
      <w:marBottom w:val="0"/>
      <w:divBdr>
        <w:top w:val="none" w:sz="0" w:space="0" w:color="auto"/>
        <w:left w:val="none" w:sz="0" w:space="0" w:color="auto"/>
        <w:bottom w:val="none" w:sz="0" w:space="0" w:color="auto"/>
        <w:right w:val="none" w:sz="0" w:space="0" w:color="auto"/>
      </w:divBdr>
    </w:div>
    <w:div w:id="1215197639">
      <w:bodyDiv w:val="1"/>
      <w:marLeft w:val="0"/>
      <w:marRight w:val="0"/>
      <w:marTop w:val="0"/>
      <w:marBottom w:val="0"/>
      <w:divBdr>
        <w:top w:val="none" w:sz="0" w:space="0" w:color="auto"/>
        <w:left w:val="none" w:sz="0" w:space="0" w:color="auto"/>
        <w:bottom w:val="none" w:sz="0" w:space="0" w:color="auto"/>
        <w:right w:val="none" w:sz="0" w:space="0" w:color="auto"/>
      </w:divBdr>
    </w:div>
    <w:div w:id="1262564009">
      <w:bodyDiv w:val="1"/>
      <w:marLeft w:val="0"/>
      <w:marRight w:val="0"/>
      <w:marTop w:val="0"/>
      <w:marBottom w:val="0"/>
      <w:divBdr>
        <w:top w:val="none" w:sz="0" w:space="0" w:color="auto"/>
        <w:left w:val="none" w:sz="0" w:space="0" w:color="auto"/>
        <w:bottom w:val="none" w:sz="0" w:space="0" w:color="auto"/>
        <w:right w:val="none" w:sz="0" w:space="0" w:color="auto"/>
      </w:divBdr>
    </w:div>
    <w:div w:id="1299148213">
      <w:bodyDiv w:val="1"/>
      <w:marLeft w:val="0"/>
      <w:marRight w:val="0"/>
      <w:marTop w:val="0"/>
      <w:marBottom w:val="0"/>
      <w:divBdr>
        <w:top w:val="none" w:sz="0" w:space="0" w:color="auto"/>
        <w:left w:val="none" w:sz="0" w:space="0" w:color="auto"/>
        <w:bottom w:val="none" w:sz="0" w:space="0" w:color="auto"/>
        <w:right w:val="none" w:sz="0" w:space="0" w:color="auto"/>
      </w:divBdr>
    </w:div>
    <w:div w:id="1314021412">
      <w:bodyDiv w:val="1"/>
      <w:marLeft w:val="0"/>
      <w:marRight w:val="0"/>
      <w:marTop w:val="0"/>
      <w:marBottom w:val="0"/>
      <w:divBdr>
        <w:top w:val="none" w:sz="0" w:space="0" w:color="auto"/>
        <w:left w:val="none" w:sz="0" w:space="0" w:color="auto"/>
        <w:bottom w:val="none" w:sz="0" w:space="0" w:color="auto"/>
        <w:right w:val="none" w:sz="0" w:space="0" w:color="auto"/>
      </w:divBdr>
    </w:div>
    <w:div w:id="1398893991">
      <w:bodyDiv w:val="1"/>
      <w:marLeft w:val="0"/>
      <w:marRight w:val="0"/>
      <w:marTop w:val="0"/>
      <w:marBottom w:val="0"/>
      <w:divBdr>
        <w:top w:val="none" w:sz="0" w:space="0" w:color="auto"/>
        <w:left w:val="none" w:sz="0" w:space="0" w:color="auto"/>
        <w:bottom w:val="none" w:sz="0" w:space="0" w:color="auto"/>
        <w:right w:val="none" w:sz="0" w:space="0" w:color="auto"/>
      </w:divBdr>
    </w:div>
    <w:div w:id="1421368193">
      <w:bodyDiv w:val="1"/>
      <w:marLeft w:val="0"/>
      <w:marRight w:val="0"/>
      <w:marTop w:val="0"/>
      <w:marBottom w:val="0"/>
      <w:divBdr>
        <w:top w:val="none" w:sz="0" w:space="0" w:color="auto"/>
        <w:left w:val="none" w:sz="0" w:space="0" w:color="auto"/>
        <w:bottom w:val="none" w:sz="0" w:space="0" w:color="auto"/>
        <w:right w:val="none" w:sz="0" w:space="0" w:color="auto"/>
      </w:divBdr>
    </w:div>
    <w:div w:id="1421827214">
      <w:bodyDiv w:val="1"/>
      <w:marLeft w:val="0"/>
      <w:marRight w:val="0"/>
      <w:marTop w:val="0"/>
      <w:marBottom w:val="0"/>
      <w:divBdr>
        <w:top w:val="none" w:sz="0" w:space="0" w:color="auto"/>
        <w:left w:val="none" w:sz="0" w:space="0" w:color="auto"/>
        <w:bottom w:val="none" w:sz="0" w:space="0" w:color="auto"/>
        <w:right w:val="none" w:sz="0" w:space="0" w:color="auto"/>
      </w:divBdr>
    </w:div>
    <w:div w:id="1425153621">
      <w:bodyDiv w:val="1"/>
      <w:marLeft w:val="0"/>
      <w:marRight w:val="0"/>
      <w:marTop w:val="0"/>
      <w:marBottom w:val="0"/>
      <w:divBdr>
        <w:top w:val="none" w:sz="0" w:space="0" w:color="auto"/>
        <w:left w:val="none" w:sz="0" w:space="0" w:color="auto"/>
        <w:bottom w:val="none" w:sz="0" w:space="0" w:color="auto"/>
        <w:right w:val="none" w:sz="0" w:space="0" w:color="auto"/>
      </w:divBdr>
    </w:div>
    <w:div w:id="1445731576">
      <w:bodyDiv w:val="1"/>
      <w:marLeft w:val="0"/>
      <w:marRight w:val="0"/>
      <w:marTop w:val="0"/>
      <w:marBottom w:val="0"/>
      <w:divBdr>
        <w:top w:val="none" w:sz="0" w:space="0" w:color="auto"/>
        <w:left w:val="none" w:sz="0" w:space="0" w:color="auto"/>
        <w:bottom w:val="none" w:sz="0" w:space="0" w:color="auto"/>
        <w:right w:val="none" w:sz="0" w:space="0" w:color="auto"/>
      </w:divBdr>
    </w:div>
    <w:div w:id="1499810097">
      <w:bodyDiv w:val="1"/>
      <w:marLeft w:val="0"/>
      <w:marRight w:val="0"/>
      <w:marTop w:val="0"/>
      <w:marBottom w:val="0"/>
      <w:divBdr>
        <w:top w:val="none" w:sz="0" w:space="0" w:color="auto"/>
        <w:left w:val="none" w:sz="0" w:space="0" w:color="auto"/>
        <w:bottom w:val="none" w:sz="0" w:space="0" w:color="auto"/>
        <w:right w:val="none" w:sz="0" w:space="0" w:color="auto"/>
      </w:divBdr>
    </w:div>
    <w:div w:id="1506550068">
      <w:bodyDiv w:val="1"/>
      <w:marLeft w:val="0"/>
      <w:marRight w:val="0"/>
      <w:marTop w:val="0"/>
      <w:marBottom w:val="0"/>
      <w:divBdr>
        <w:top w:val="none" w:sz="0" w:space="0" w:color="auto"/>
        <w:left w:val="none" w:sz="0" w:space="0" w:color="auto"/>
        <w:bottom w:val="none" w:sz="0" w:space="0" w:color="auto"/>
        <w:right w:val="none" w:sz="0" w:space="0" w:color="auto"/>
      </w:divBdr>
    </w:div>
    <w:div w:id="1516185977">
      <w:bodyDiv w:val="1"/>
      <w:marLeft w:val="0"/>
      <w:marRight w:val="0"/>
      <w:marTop w:val="0"/>
      <w:marBottom w:val="0"/>
      <w:divBdr>
        <w:top w:val="none" w:sz="0" w:space="0" w:color="auto"/>
        <w:left w:val="none" w:sz="0" w:space="0" w:color="auto"/>
        <w:bottom w:val="none" w:sz="0" w:space="0" w:color="auto"/>
        <w:right w:val="none" w:sz="0" w:space="0" w:color="auto"/>
      </w:divBdr>
    </w:div>
    <w:div w:id="1608653032">
      <w:bodyDiv w:val="1"/>
      <w:marLeft w:val="0"/>
      <w:marRight w:val="0"/>
      <w:marTop w:val="0"/>
      <w:marBottom w:val="0"/>
      <w:divBdr>
        <w:top w:val="none" w:sz="0" w:space="0" w:color="auto"/>
        <w:left w:val="none" w:sz="0" w:space="0" w:color="auto"/>
        <w:bottom w:val="none" w:sz="0" w:space="0" w:color="auto"/>
        <w:right w:val="none" w:sz="0" w:space="0" w:color="auto"/>
      </w:divBdr>
    </w:div>
    <w:div w:id="1632396208">
      <w:bodyDiv w:val="1"/>
      <w:marLeft w:val="0"/>
      <w:marRight w:val="0"/>
      <w:marTop w:val="0"/>
      <w:marBottom w:val="0"/>
      <w:divBdr>
        <w:top w:val="none" w:sz="0" w:space="0" w:color="auto"/>
        <w:left w:val="none" w:sz="0" w:space="0" w:color="auto"/>
        <w:bottom w:val="none" w:sz="0" w:space="0" w:color="auto"/>
        <w:right w:val="none" w:sz="0" w:space="0" w:color="auto"/>
      </w:divBdr>
    </w:div>
    <w:div w:id="1744450282">
      <w:bodyDiv w:val="1"/>
      <w:marLeft w:val="0"/>
      <w:marRight w:val="0"/>
      <w:marTop w:val="0"/>
      <w:marBottom w:val="0"/>
      <w:divBdr>
        <w:top w:val="none" w:sz="0" w:space="0" w:color="auto"/>
        <w:left w:val="none" w:sz="0" w:space="0" w:color="auto"/>
        <w:bottom w:val="none" w:sz="0" w:space="0" w:color="auto"/>
        <w:right w:val="none" w:sz="0" w:space="0" w:color="auto"/>
      </w:divBdr>
    </w:div>
    <w:div w:id="1766996476">
      <w:bodyDiv w:val="1"/>
      <w:marLeft w:val="0"/>
      <w:marRight w:val="0"/>
      <w:marTop w:val="0"/>
      <w:marBottom w:val="0"/>
      <w:divBdr>
        <w:top w:val="none" w:sz="0" w:space="0" w:color="auto"/>
        <w:left w:val="none" w:sz="0" w:space="0" w:color="auto"/>
        <w:bottom w:val="none" w:sz="0" w:space="0" w:color="auto"/>
        <w:right w:val="none" w:sz="0" w:space="0" w:color="auto"/>
      </w:divBdr>
    </w:div>
    <w:div w:id="1796481506">
      <w:bodyDiv w:val="1"/>
      <w:marLeft w:val="0"/>
      <w:marRight w:val="0"/>
      <w:marTop w:val="0"/>
      <w:marBottom w:val="0"/>
      <w:divBdr>
        <w:top w:val="none" w:sz="0" w:space="0" w:color="auto"/>
        <w:left w:val="none" w:sz="0" w:space="0" w:color="auto"/>
        <w:bottom w:val="none" w:sz="0" w:space="0" w:color="auto"/>
        <w:right w:val="none" w:sz="0" w:space="0" w:color="auto"/>
      </w:divBdr>
    </w:div>
    <w:div w:id="1838374945">
      <w:bodyDiv w:val="1"/>
      <w:marLeft w:val="0"/>
      <w:marRight w:val="0"/>
      <w:marTop w:val="0"/>
      <w:marBottom w:val="0"/>
      <w:divBdr>
        <w:top w:val="none" w:sz="0" w:space="0" w:color="auto"/>
        <w:left w:val="none" w:sz="0" w:space="0" w:color="auto"/>
        <w:bottom w:val="none" w:sz="0" w:space="0" w:color="auto"/>
        <w:right w:val="none" w:sz="0" w:space="0" w:color="auto"/>
      </w:divBdr>
    </w:div>
    <w:div w:id="1914311613">
      <w:bodyDiv w:val="1"/>
      <w:marLeft w:val="0"/>
      <w:marRight w:val="0"/>
      <w:marTop w:val="0"/>
      <w:marBottom w:val="0"/>
      <w:divBdr>
        <w:top w:val="none" w:sz="0" w:space="0" w:color="auto"/>
        <w:left w:val="none" w:sz="0" w:space="0" w:color="auto"/>
        <w:bottom w:val="none" w:sz="0" w:space="0" w:color="auto"/>
        <w:right w:val="none" w:sz="0" w:space="0" w:color="auto"/>
      </w:divBdr>
    </w:div>
    <w:div w:id="1923293913">
      <w:bodyDiv w:val="1"/>
      <w:marLeft w:val="0"/>
      <w:marRight w:val="0"/>
      <w:marTop w:val="0"/>
      <w:marBottom w:val="0"/>
      <w:divBdr>
        <w:top w:val="none" w:sz="0" w:space="0" w:color="auto"/>
        <w:left w:val="none" w:sz="0" w:space="0" w:color="auto"/>
        <w:bottom w:val="none" w:sz="0" w:space="0" w:color="auto"/>
        <w:right w:val="none" w:sz="0" w:space="0" w:color="auto"/>
      </w:divBdr>
    </w:div>
    <w:div w:id="1943955840">
      <w:bodyDiv w:val="1"/>
      <w:marLeft w:val="0"/>
      <w:marRight w:val="0"/>
      <w:marTop w:val="0"/>
      <w:marBottom w:val="0"/>
      <w:divBdr>
        <w:top w:val="none" w:sz="0" w:space="0" w:color="auto"/>
        <w:left w:val="none" w:sz="0" w:space="0" w:color="auto"/>
        <w:bottom w:val="none" w:sz="0" w:space="0" w:color="auto"/>
        <w:right w:val="none" w:sz="0" w:space="0" w:color="auto"/>
      </w:divBdr>
    </w:div>
    <w:div w:id="1983460214">
      <w:bodyDiv w:val="1"/>
      <w:marLeft w:val="0"/>
      <w:marRight w:val="0"/>
      <w:marTop w:val="0"/>
      <w:marBottom w:val="0"/>
      <w:divBdr>
        <w:top w:val="none" w:sz="0" w:space="0" w:color="auto"/>
        <w:left w:val="none" w:sz="0" w:space="0" w:color="auto"/>
        <w:bottom w:val="none" w:sz="0" w:space="0" w:color="auto"/>
        <w:right w:val="none" w:sz="0" w:space="0" w:color="auto"/>
      </w:divBdr>
    </w:div>
    <w:div w:id="1997686996">
      <w:bodyDiv w:val="1"/>
      <w:marLeft w:val="0"/>
      <w:marRight w:val="0"/>
      <w:marTop w:val="0"/>
      <w:marBottom w:val="0"/>
      <w:divBdr>
        <w:top w:val="none" w:sz="0" w:space="0" w:color="auto"/>
        <w:left w:val="none" w:sz="0" w:space="0" w:color="auto"/>
        <w:bottom w:val="none" w:sz="0" w:space="0" w:color="auto"/>
        <w:right w:val="none" w:sz="0" w:space="0" w:color="auto"/>
      </w:divBdr>
    </w:div>
    <w:div w:id="2034765124">
      <w:bodyDiv w:val="1"/>
      <w:marLeft w:val="0"/>
      <w:marRight w:val="0"/>
      <w:marTop w:val="0"/>
      <w:marBottom w:val="0"/>
      <w:divBdr>
        <w:top w:val="none" w:sz="0" w:space="0" w:color="auto"/>
        <w:left w:val="none" w:sz="0" w:space="0" w:color="auto"/>
        <w:bottom w:val="none" w:sz="0" w:space="0" w:color="auto"/>
        <w:right w:val="none" w:sz="0" w:space="0" w:color="auto"/>
      </w:divBdr>
    </w:div>
    <w:div w:id="2041390116">
      <w:bodyDiv w:val="1"/>
      <w:marLeft w:val="0"/>
      <w:marRight w:val="0"/>
      <w:marTop w:val="0"/>
      <w:marBottom w:val="0"/>
      <w:divBdr>
        <w:top w:val="none" w:sz="0" w:space="0" w:color="auto"/>
        <w:left w:val="none" w:sz="0" w:space="0" w:color="auto"/>
        <w:bottom w:val="none" w:sz="0" w:space="0" w:color="auto"/>
        <w:right w:val="none" w:sz="0" w:space="0" w:color="auto"/>
      </w:divBdr>
    </w:div>
    <w:div w:id="2055961502">
      <w:bodyDiv w:val="1"/>
      <w:marLeft w:val="0"/>
      <w:marRight w:val="0"/>
      <w:marTop w:val="0"/>
      <w:marBottom w:val="0"/>
      <w:divBdr>
        <w:top w:val="none" w:sz="0" w:space="0" w:color="auto"/>
        <w:left w:val="none" w:sz="0" w:space="0" w:color="auto"/>
        <w:bottom w:val="none" w:sz="0" w:space="0" w:color="auto"/>
        <w:right w:val="none" w:sz="0" w:space="0" w:color="auto"/>
      </w:divBdr>
    </w:div>
    <w:div w:id="2067992323">
      <w:bodyDiv w:val="1"/>
      <w:marLeft w:val="0"/>
      <w:marRight w:val="0"/>
      <w:marTop w:val="0"/>
      <w:marBottom w:val="0"/>
      <w:divBdr>
        <w:top w:val="none" w:sz="0" w:space="0" w:color="auto"/>
        <w:left w:val="none" w:sz="0" w:space="0" w:color="auto"/>
        <w:bottom w:val="none" w:sz="0" w:space="0" w:color="auto"/>
        <w:right w:val="none" w:sz="0" w:space="0" w:color="auto"/>
      </w:divBdr>
    </w:div>
    <w:div w:id="2067992742">
      <w:bodyDiv w:val="1"/>
      <w:marLeft w:val="0"/>
      <w:marRight w:val="0"/>
      <w:marTop w:val="0"/>
      <w:marBottom w:val="0"/>
      <w:divBdr>
        <w:top w:val="none" w:sz="0" w:space="0" w:color="auto"/>
        <w:left w:val="none" w:sz="0" w:space="0" w:color="auto"/>
        <w:bottom w:val="none" w:sz="0" w:space="0" w:color="auto"/>
        <w:right w:val="none" w:sz="0" w:space="0" w:color="auto"/>
      </w:divBdr>
    </w:div>
    <w:div w:id="2078281507">
      <w:bodyDiv w:val="1"/>
      <w:marLeft w:val="0"/>
      <w:marRight w:val="0"/>
      <w:marTop w:val="0"/>
      <w:marBottom w:val="0"/>
      <w:divBdr>
        <w:top w:val="none" w:sz="0" w:space="0" w:color="auto"/>
        <w:left w:val="none" w:sz="0" w:space="0" w:color="auto"/>
        <w:bottom w:val="none" w:sz="0" w:space="0" w:color="auto"/>
        <w:right w:val="none" w:sz="0" w:space="0" w:color="auto"/>
      </w:divBdr>
    </w:div>
    <w:div w:id="2104838698">
      <w:bodyDiv w:val="1"/>
      <w:marLeft w:val="0"/>
      <w:marRight w:val="0"/>
      <w:marTop w:val="0"/>
      <w:marBottom w:val="0"/>
      <w:divBdr>
        <w:top w:val="none" w:sz="0" w:space="0" w:color="auto"/>
        <w:left w:val="none" w:sz="0" w:space="0" w:color="auto"/>
        <w:bottom w:val="none" w:sz="0" w:space="0" w:color="auto"/>
        <w:right w:val="none" w:sz="0" w:space="0" w:color="auto"/>
      </w:divBdr>
    </w:div>
    <w:div w:id="2113553307">
      <w:bodyDiv w:val="1"/>
      <w:marLeft w:val="0"/>
      <w:marRight w:val="0"/>
      <w:marTop w:val="0"/>
      <w:marBottom w:val="0"/>
      <w:divBdr>
        <w:top w:val="none" w:sz="0" w:space="0" w:color="auto"/>
        <w:left w:val="none" w:sz="0" w:space="0" w:color="auto"/>
        <w:bottom w:val="none" w:sz="0" w:space="0" w:color="auto"/>
        <w:right w:val="none" w:sz="0" w:space="0" w:color="auto"/>
      </w:divBdr>
    </w:div>
    <w:div w:id="21246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AB3DE31D824C2ABC9CEA59CC48C676"/>
        <w:category>
          <w:name w:val="常规"/>
          <w:gallery w:val="placeholder"/>
        </w:category>
        <w:types>
          <w:type w:val="bbPlcHdr"/>
        </w:types>
        <w:behaviors>
          <w:behavior w:val="content"/>
        </w:behaviors>
        <w:guid w:val="{8B433980-4604-4E1C-90CE-96141A956D78}"/>
      </w:docPartPr>
      <w:docPartBody>
        <w:p w:rsidR="00005961" w:rsidRDefault="00005961">
          <w:pPr>
            <w:pStyle w:val="60AB3DE31D824C2ABC9CEA59CC48C676"/>
          </w:pPr>
          <w:r w:rsidRPr="00751A05">
            <w:rPr>
              <w:rStyle w:val="a3"/>
              <w:rFonts w:hint="eastAsia"/>
            </w:rPr>
            <w:t>单击或点击此处输入文字。</w:t>
          </w:r>
        </w:p>
      </w:docPartBody>
    </w:docPart>
    <w:docPart>
      <w:docPartPr>
        <w:name w:val="5F836CDB11724A7794B9F016D875E094"/>
        <w:category>
          <w:name w:val="常规"/>
          <w:gallery w:val="placeholder"/>
        </w:category>
        <w:types>
          <w:type w:val="bbPlcHdr"/>
        </w:types>
        <w:behaviors>
          <w:behavior w:val="content"/>
        </w:behaviors>
        <w:guid w:val="{19AF8875-E6C8-4B03-8820-31ABF921ABAB}"/>
      </w:docPartPr>
      <w:docPartBody>
        <w:p w:rsidR="00005961" w:rsidRDefault="00005961">
          <w:pPr>
            <w:pStyle w:val="5F836CDB11724A7794B9F016D875E094"/>
          </w:pPr>
          <w:r w:rsidRPr="00FB6243">
            <w:rPr>
              <w:rStyle w:val="a3"/>
              <w:rFonts w:hint="eastAsia"/>
            </w:rPr>
            <w:t>选择一项。</w:t>
          </w:r>
        </w:p>
      </w:docPartBody>
    </w:docPart>
    <w:docPart>
      <w:docPartPr>
        <w:name w:val="D6E41478A39B48658DAB2011166E2101"/>
        <w:category>
          <w:name w:val="常规"/>
          <w:gallery w:val="placeholder"/>
        </w:category>
        <w:types>
          <w:type w:val="bbPlcHdr"/>
        </w:types>
        <w:behaviors>
          <w:behavior w:val="content"/>
        </w:behaviors>
        <w:guid w:val="{0D5993BA-3F59-493C-9E44-CF8BE964D837}"/>
      </w:docPartPr>
      <w:docPartBody>
        <w:p w:rsidR="00005961" w:rsidRDefault="00005961">
          <w:pPr>
            <w:pStyle w:val="D6E41478A39B48658DAB2011166E210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597A"/>
    <w:rsid w:val="00005961"/>
    <w:rsid w:val="0025597A"/>
    <w:rsid w:val="00F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5961"/>
    <w:rPr>
      <w:color w:val="808080"/>
    </w:rPr>
  </w:style>
  <w:style w:type="paragraph" w:customStyle="1" w:styleId="60AB3DE31D824C2ABC9CEA59CC48C676">
    <w:name w:val="60AB3DE31D824C2ABC9CEA59CC48C676"/>
    <w:rsid w:val="00005961"/>
    <w:pPr>
      <w:widowControl w:val="0"/>
      <w:jc w:val="both"/>
    </w:pPr>
  </w:style>
  <w:style w:type="paragraph" w:customStyle="1" w:styleId="5F836CDB11724A7794B9F016D875E094">
    <w:name w:val="5F836CDB11724A7794B9F016D875E094"/>
    <w:rsid w:val="00005961"/>
    <w:pPr>
      <w:widowControl w:val="0"/>
      <w:jc w:val="both"/>
    </w:pPr>
  </w:style>
  <w:style w:type="paragraph" w:customStyle="1" w:styleId="D6E41478A39B48658DAB2011166E2101">
    <w:name w:val="D6E41478A39B48658DAB2011166E2101"/>
    <w:rsid w:val="000059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5D65-AACA-4E64-96F7-CB1EB05A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105</TotalTime>
  <Pages>1</Pages>
  <Words>959</Words>
  <Characters>5470</Characters>
  <Application>Microsoft Office Word</Application>
  <DocSecurity>0</DocSecurity>
  <Lines>45</Lines>
  <Paragraphs>12</Paragraphs>
  <ScaleCrop>false</ScaleCrop>
  <Company>PCMI</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libin</dc:creator>
  <cp:keywords/>
  <dc:description>&lt;config cover="true" show_menu="true" version="1.0.0" doctype="SDKXY"&gt;_x000d_
&lt;/config&gt;</dc:description>
  <cp:lastModifiedBy>张莉</cp:lastModifiedBy>
  <cp:revision>7</cp:revision>
  <cp:lastPrinted>2020-08-30T10:00:00Z</cp:lastPrinted>
  <dcterms:created xsi:type="dcterms:W3CDTF">2023-09-18T00:56:00Z</dcterms:created>
  <dcterms:modified xsi:type="dcterms:W3CDTF">2023-09-20T07:35:00Z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