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《产品质量自治区监督抽查实细则（2023版）》产品目录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8910" w:type="dxa"/>
        <w:tblInd w:w="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/>
              </w:rPr>
              <w:t>实施细则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西藏自治区藏毯产品质量监督抽查实施细则（2023年版）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西藏自治区藏装产品质量监督抽查实施细则（2023年版）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西藏自治区衬衫产品质量监督抽查实施细则（2023年版）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西藏自治区冲锋衣产品质量监督抽查实施细则（2023年版）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西藏自治区床上用品产品质量监督抽查实施细则（2023年版）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西藏自治区儿童及婴幼儿服装产品质量监督抽查实施细则（2023年版）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西藏自治区女士内衣产品质量监督抽查实施细则（2023年版）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西藏自治区西服、大衣产品质量监督抽查实施细则（2023年版）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西藏自治区休闲服装产品质量监督抽查实施细则（2023年版）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西藏自治区学生校服产品质量监督抽查实施细则（2023年版）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西藏自治区羊毛衫产品质量监督抽查实施细则（2023年版）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西藏自治区幼儿园园服产品质量监督抽查实施细则（2023年版）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西藏自治区羽绒服产品质量监督抽查实施细则（2023年版）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西藏自治区防水卷材产品质量监督抽查实施细则（2023年版）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西藏自治区钢筋产品质量监督抽查实施细则（2023年版）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西藏自治区水泥产品质量监督抽查实施细则（2023年版）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西藏自治区塑料管材产品质量监督抽查实施细则（2023年版）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西藏自治区藏香产品质量监督抽查实施细则（2023年版）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西藏自治区贵金属饰品产品质量监督抽查实施细则（2023年版）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西藏自治区眼镜产品质量监督抽查实施细则（2023年版）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西藏自治区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食品接触用塑料材料及制品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西藏自治区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食品用纸包装、容器等制品产品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西藏自治区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食品用陶瓷、玻璃、金属制品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质量监督抽查实施细则（2023年版）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8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自治区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一次性竹木筷产品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 w:eastAsia="zh-CN"/>
              </w:rPr>
              <w:t>质量监督抽查实施细则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（2023年版）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BEEF2"/>
    <w:rsid w:val="DFEBE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2023-05-29T15:51:00Z</dcterms:created>
  <dc:creator>xzsj</dc:creator>
  <cp:lastModifiedBy>xzsj</cp:lastModifiedBy>
  <dcterms:modified xsi:type="dcterms:W3CDTF">2023-05-29T15:51:49Z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