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AE962" w14:textId="77777777" w:rsidR="00CB00DF" w:rsidRPr="00B66062" w:rsidRDefault="00CB00DF" w:rsidP="00554B02">
      <w:pPr>
        <w:jc w:val="center"/>
        <w:rPr>
          <w:rFonts w:ascii="Times New Roman" w:eastAsia="黑体" w:hAnsi="Times New Roman"/>
          <w:sz w:val="36"/>
          <w:szCs w:val="36"/>
        </w:rPr>
      </w:pPr>
      <w:r w:rsidRPr="00B66062">
        <w:rPr>
          <w:rFonts w:ascii="Times New Roman" w:eastAsia="黑体" w:hAnsi="Times New Roman"/>
          <w:sz w:val="36"/>
          <w:szCs w:val="36"/>
        </w:rPr>
        <w:t>经营者集中简易案件公示表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70"/>
        <w:gridCol w:w="5271"/>
      </w:tblGrid>
      <w:tr w:rsidR="003C0F31" w:rsidRPr="00B66062" w14:paraId="3CEC5701" w14:textId="77777777" w:rsidTr="00CF7783">
        <w:tc>
          <w:tcPr>
            <w:tcW w:w="1555" w:type="dxa"/>
            <w:shd w:val="clear" w:color="auto" w:fill="D9D9D9"/>
            <w:vAlign w:val="center"/>
          </w:tcPr>
          <w:p w14:paraId="5C282CCA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741" w:type="dxa"/>
            <w:gridSpan w:val="2"/>
          </w:tcPr>
          <w:p w14:paraId="0C4B3992" w14:textId="7BDE37E8" w:rsidR="00CB00DF" w:rsidRPr="00B66062" w:rsidRDefault="00CF5259" w:rsidP="007207FB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阿布扎比港务局收购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</w:t>
            </w:r>
            <w:proofErr w:type="spellEnd"/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投资有限公司股权案（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B6606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本次交易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3C0F31" w:rsidRPr="00B66062" w14:paraId="6A67DDE1" w14:textId="77777777" w:rsidTr="00CF7783">
        <w:trPr>
          <w:trHeight w:val="993"/>
        </w:trPr>
        <w:tc>
          <w:tcPr>
            <w:tcW w:w="1555" w:type="dxa"/>
            <w:shd w:val="clear" w:color="auto" w:fill="D9D9D9"/>
            <w:vAlign w:val="center"/>
          </w:tcPr>
          <w:p w14:paraId="51D28758" w14:textId="77777777" w:rsidR="00F1624E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149F2DD6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741" w:type="dxa"/>
            <w:gridSpan w:val="2"/>
          </w:tcPr>
          <w:p w14:paraId="108260C4" w14:textId="67F621C8" w:rsidR="007433D6" w:rsidRPr="00B66062" w:rsidRDefault="007433D6" w:rsidP="007433D6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阿布扎比港务局</w:t>
            </w:r>
            <w:r w:rsidR="008B1E23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已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签订协议</w:t>
            </w:r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以</w:t>
            </w:r>
            <w:r w:rsidR="00B13417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收购</w:t>
            </w:r>
            <w:proofErr w:type="spellStart"/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</w:t>
            </w:r>
            <w:proofErr w:type="spellEnd"/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投资有限公司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proofErr w:type="spellStart"/>
            <w:r w:rsidR="00CF5259" w:rsidRPr="00B6606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</w:t>
            </w:r>
            <w:proofErr w:type="spellEnd"/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80%</w:t>
            </w:r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的股权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74C70B7A" w14:textId="77777777" w:rsidR="007433D6" w:rsidRPr="00B66062" w:rsidRDefault="007433D6" w:rsidP="007433D6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39AE2FAD" w14:textId="070872A9" w:rsidR="00CB00DF" w:rsidRPr="00B66062" w:rsidRDefault="007433D6" w:rsidP="007433D6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本次交易前，</w:t>
            </w:r>
            <w:r w:rsidR="00B13417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一名自然人</w:t>
            </w:r>
            <w:r w:rsidR="008B1E23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单独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控制</w:t>
            </w:r>
            <w:proofErr w:type="spellStart"/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</w:t>
            </w:r>
            <w:proofErr w:type="spellEnd"/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本次交易后，阿布扎比港务局</w:t>
            </w:r>
            <w:r w:rsidR="00B13417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持有</w:t>
            </w:r>
            <w:r w:rsidR="00B13417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Delanord80%</w:t>
            </w:r>
            <w:r w:rsidR="00B13417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的股权，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将单独控制</w:t>
            </w:r>
            <w:proofErr w:type="spellStart"/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</w:t>
            </w:r>
            <w:proofErr w:type="spellEnd"/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B13417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前述自然人</w:t>
            </w:r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将保留</w:t>
            </w:r>
            <w:r w:rsidR="00B13417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</w:t>
            </w:r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20%</w:t>
            </w:r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的无控制权权益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3C0F31" w:rsidRPr="00B66062" w14:paraId="35D332F4" w14:textId="77777777" w:rsidTr="00CF7783">
        <w:trPr>
          <w:trHeight w:val="468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2DB7FF5E" w14:textId="77777777" w:rsidR="00F1624E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06CC91F1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470" w:type="dxa"/>
            <w:vAlign w:val="center"/>
          </w:tcPr>
          <w:p w14:paraId="71078764" w14:textId="18620A2F" w:rsidR="00CB00DF" w:rsidRPr="00B66062" w:rsidRDefault="00CB00DF" w:rsidP="003A528C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7433D6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阿布扎比港务局</w:t>
            </w:r>
          </w:p>
        </w:tc>
        <w:tc>
          <w:tcPr>
            <w:tcW w:w="5271" w:type="dxa"/>
          </w:tcPr>
          <w:p w14:paraId="48E1F40D" w14:textId="4378E692" w:rsidR="007433D6" w:rsidRPr="00B66062" w:rsidRDefault="007433D6" w:rsidP="007433D6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阿布扎比港务局于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2006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年于</w:t>
            </w:r>
            <w:r w:rsidR="00666BE3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阿拉伯联合酋长国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设立，于阿布扎比证券交易所上市。阿布扎比港务局为贸易、物流和运输提供支持，在阿联酋运营十座港口和码头，并在埃及运营港口设施。</w:t>
            </w:r>
          </w:p>
          <w:p w14:paraId="1F5C5FC8" w14:textId="10324057" w:rsidR="00D1722B" w:rsidRPr="00B66062" w:rsidRDefault="007433D6" w:rsidP="00666BE3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阿布扎比港务局</w:t>
            </w:r>
            <w:r w:rsidR="00666BE3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最终控制人是阿布扎比发展控股公司，是区域内最大的控股公司之一，在阿布扎比各经济领域拥有直接或间接投资，包括食品和农业、航空、金融服务、医疗健康、工业、物流、媒体、房地产、旅游业和酒店业、运输和公用事业。</w:t>
            </w:r>
          </w:p>
        </w:tc>
      </w:tr>
      <w:tr w:rsidR="003C0F31" w:rsidRPr="00B66062" w14:paraId="63695C14" w14:textId="77777777" w:rsidTr="00CF7783">
        <w:trPr>
          <w:trHeight w:val="404"/>
        </w:trPr>
        <w:tc>
          <w:tcPr>
            <w:tcW w:w="1555" w:type="dxa"/>
            <w:vMerge/>
            <w:shd w:val="clear" w:color="auto" w:fill="D9D9D9"/>
            <w:vAlign w:val="center"/>
          </w:tcPr>
          <w:p w14:paraId="0256966F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70" w:type="dxa"/>
            <w:vAlign w:val="center"/>
          </w:tcPr>
          <w:p w14:paraId="4ED5C0FE" w14:textId="34BA8E5E" w:rsidR="00CB00DF" w:rsidRPr="00B66062" w:rsidRDefault="00CB00DF" w:rsidP="00666BE3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proofErr w:type="spellStart"/>
            <w:r w:rsidR="00CF5259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Delanord</w:t>
            </w:r>
            <w:proofErr w:type="spellEnd"/>
          </w:p>
        </w:tc>
        <w:tc>
          <w:tcPr>
            <w:tcW w:w="5271" w:type="dxa"/>
          </w:tcPr>
          <w:p w14:paraId="152307C7" w14:textId="57C0E1C7" w:rsidR="00CF5259" w:rsidRPr="00B66062" w:rsidRDefault="00CF5259" w:rsidP="00CF52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Delanord</w:t>
            </w:r>
            <w:proofErr w:type="spellEnd"/>
            <w:r w:rsidR="00666BE3"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于</w:t>
            </w:r>
            <w:r w:rsidR="00666BE3"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201</w:t>
            </w:r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666BE3"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年于</w:t>
            </w:r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塞浦路斯</w:t>
            </w:r>
            <w:r w:rsidR="00666BE3"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设立，</w:t>
            </w:r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是一家从事</w:t>
            </w:r>
            <w:r w:rsidR="00BC6FD0"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集装箱支线航运服务</w:t>
            </w:r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的企业集团，同时也提供无船承运的集装箱运输解决方案。</w:t>
            </w:r>
          </w:p>
          <w:p w14:paraId="00FF7648" w14:textId="2355DD8B" w:rsidR="00666BE3" w:rsidRPr="00B66062" w:rsidRDefault="00CF5259" w:rsidP="00CF52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Delanord</w:t>
            </w:r>
            <w:proofErr w:type="spellEnd"/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目前的最终控制人是</w:t>
            </w:r>
            <w:r w:rsidR="00B13417"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一名</w:t>
            </w:r>
            <w:r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自然人。</w:t>
            </w:r>
            <w:r w:rsidR="00B66062" w:rsidRPr="00B6606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主要从事航运和物流业务。</w:t>
            </w:r>
          </w:p>
        </w:tc>
      </w:tr>
      <w:tr w:rsidR="003C0F31" w:rsidRPr="00B66062" w14:paraId="4ADA4332" w14:textId="77777777" w:rsidTr="00CF7783">
        <w:trPr>
          <w:trHeight w:val="279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5BFE66BF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741" w:type="dxa"/>
            <w:gridSpan w:val="2"/>
          </w:tcPr>
          <w:p w14:paraId="49B89FE0" w14:textId="1B4FE79A" w:rsidR="00CB00DF" w:rsidRPr="00B66062" w:rsidRDefault="00CF5259" w:rsidP="00E9040C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3C0F31" w:rsidRPr="00B66062" w14:paraId="0757D374" w14:textId="77777777" w:rsidTr="00CF7783">
        <w:trPr>
          <w:trHeight w:val="330"/>
        </w:trPr>
        <w:tc>
          <w:tcPr>
            <w:tcW w:w="1555" w:type="dxa"/>
            <w:vMerge/>
            <w:shd w:val="clear" w:color="auto" w:fill="D9D9D9"/>
            <w:vAlign w:val="center"/>
          </w:tcPr>
          <w:p w14:paraId="3250A171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741" w:type="dxa"/>
            <w:gridSpan w:val="2"/>
          </w:tcPr>
          <w:p w14:paraId="5A4E4271" w14:textId="7185FD94" w:rsidR="00CB00DF" w:rsidRPr="00B66062" w:rsidRDefault="00DD01D9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3C0F31" w:rsidRPr="00B66062" w14:paraId="35F366DE" w14:textId="77777777" w:rsidTr="00CF7783">
        <w:trPr>
          <w:trHeight w:val="285"/>
        </w:trPr>
        <w:tc>
          <w:tcPr>
            <w:tcW w:w="1555" w:type="dxa"/>
            <w:vMerge/>
            <w:shd w:val="clear" w:color="auto" w:fill="D9D9D9"/>
            <w:vAlign w:val="center"/>
          </w:tcPr>
          <w:p w14:paraId="4F57B9EB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741" w:type="dxa"/>
            <w:gridSpan w:val="2"/>
          </w:tcPr>
          <w:p w14:paraId="73844FB9" w14:textId="77777777" w:rsidR="00CB00DF" w:rsidRPr="00B66062" w:rsidRDefault="00E9040C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3C0F31" w:rsidRPr="00B66062" w14:paraId="51629C89" w14:textId="77777777" w:rsidTr="00CF7783">
        <w:trPr>
          <w:trHeight w:val="621"/>
        </w:trPr>
        <w:tc>
          <w:tcPr>
            <w:tcW w:w="1555" w:type="dxa"/>
            <w:vMerge/>
            <w:shd w:val="clear" w:color="auto" w:fill="D9D9D9"/>
            <w:vAlign w:val="center"/>
          </w:tcPr>
          <w:p w14:paraId="55BE1376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741" w:type="dxa"/>
            <w:gridSpan w:val="2"/>
          </w:tcPr>
          <w:p w14:paraId="77FD7446" w14:textId="6845C16F" w:rsidR="00CB00DF" w:rsidRPr="00B66062" w:rsidRDefault="00DD01D9" w:rsidP="00BB4FB9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3C0F31" w:rsidRPr="00B66062" w14:paraId="59E80FDE" w14:textId="77777777" w:rsidTr="00CF7783">
        <w:trPr>
          <w:trHeight w:val="264"/>
        </w:trPr>
        <w:tc>
          <w:tcPr>
            <w:tcW w:w="1555" w:type="dxa"/>
            <w:vMerge/>
            <w:shd w:val="clear" w:color="auto" w:fill="D9D9D9"/>
            <w:vAlign w:val="center"/>
          </w:tcPr>
          <w:p w14:paraId="4F1C1E64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741" w:type="dxa"/>
            <w:gridSpan w:val="2"/>
          </w:tcPr>
          <w:p w14:paraId="04C6CE61" w14:textId="77777777" w:rsidR="00CB00DF" w:rsidRPr="00B66062" w:rsidRDefault="00BB4FB9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3C0F31" w:rsidRPr="00B66062" w14:paraId="69D5A978" w14:textId="77777777" w:rsidTr="00CF7783">
        <w:trPr>
          <w:trHeight w:val="345"/>
        </w:trPr>
        <w:tc>
          <w:tcPr>
            <w:tcW w:w="1555" w:type="dxa"/>
            <w:vMerge/>
            <w:shd w:val="clear" w:color="auto" w:fill="D9D9D9"/>
            <w:vAlign w:val="center"/>
          </w:tcPr>
          <w:p w14:paraId="36B58D11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741" w:type="dxa"/>
            <w:gridSpan w:val="2"/>
          </w:tcPr>
          <w:p w14:paraId="6DF1A1B6" w14:textId="77777777" w:rsidR="00CB00DF" w:rsidRPr="00B66062" w:rsidRDefault="00BB4FB9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="00CB00DF"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3C0F31" w:rsidRPr="00B66062" w14:paraId="273CDA08" w14:textId="77777777" w:rsidTr="00CF7783">
        <w:tc>
          <w:tcPr>
            <w:tcW w:w="1555" w:type="dxa"/>
            <w:shd w:val="clear" w:color="auto" w:fill="D9D9D9"/>
            <w:vAlign w:val="center"/>
          </w:tcPr>
          <w:p w14:paraId="44D33F3A" w14:textId="77777777" w:rsidR="00CB00DF" w:rsidRPr="00B66062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741" w:type="dxa"/>
            <w:gridSpan w:val="2"/>
          </w:tcPr>
          <w:p w14:paraId="1D4F7380" w14:textId="77777777" w:rsidR="00CF7783" w:rsidRPr="00B66062" w:rsidRDefault="00CF7783" w:rsidP="00122E7F">
            <w:pP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横向重叠</w:t>
            </w:r>
            <w:r w:rsidRPr="00B6606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:</w:t>
            </w:r>
          </w:p>
          <w:tbl>
            <w:tblPr>
              <w:tblStyle w:val="TableGrid"/>
              <w:tblW w:w="6411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1701"/>
              <w:gridCol w:w="2551"/>
            </w:tblGrid>
            <w:tr w:rsidR="00CF7783" w:rsidRPr="00B66062" w14:paraId="45F9637C" w14:textId="77777777" w:rsidTr="00CF7783">
              <w:tc>
                <w:tcPr>
                  <w:tcW w:w="2159" w:type="dxa"/>
                </w:tcPr>
                <w:p w14:paraId="1FAB989C" w14:textId="73AA965E" w:rsidR="00CF7783" w:rsidRPr="00B66062" w:rsidRDefault="00CF7783" w:rsidP="00CF7783">
                  <w:pPr>
                    <w:pStyle w:val="BodyText"/>
                    <w:spacing w:after="0" w:line="360" w:lineRule="exact"/>
                    <w:jc w:val="center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相关商品市场</w:t>
                  </w:r>
                </w:p>
              </w:tc>
              <w:tc>
                <w:tcPr>
                  <w:tcW w:w="1701" w:type="dxa"/>
                </w:tcPr>
                <w:p w14:paraId="150A5ECF" w14:textId="0576E10F" w:rsidR="00CF7783" w:rsidRPr="00B66062" w:rsidRDefault="00CF7783" w:rsidP="00CF7783">
                  <w:pPr>
                    <w:pStyle w:val="BodyText"/>
                    <w:spacing w:after="0" w:line="360" w:lineRule="exact"/>
                    <w:jc w:val="center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相关地域市场</w:t>
                  </w:r>
                </w:p>
              </w:tc>
              <w:tc>
                <w:tcPr>
                  <w:tcW w:w="2551" w:type="dxa"/>
                </w:tcPr>
                <w:p w14:paraId="49E3DF46" w14:textId="773EF349" w:rsidR="00CF7783" w:rsidRPr="00B66062" w:rsidRDefault="00CF7783" w:rsidP="00A97756">
                  <w:pPr>
                    <w:pStyle w:val="BodyText"/>
                    <w:spacing w:after="0" w:line="360" w:lineRule="exact"/>
                    <w:jc w:val="center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202</w:t>
                  </w:r>
                  <w:r w:rsidR="00A97756" w:rsidRPr="00B66062">
                    <w:rPr>
                      <w:bCs/>
                      <w:lang w:eastAsia="zh-CN"/>
                    </w:rPr>
                    <w:t>2</w:t>
                  </w:r>
                  <w:r w:rsidRPr="00B66062">
                    <w:rPr>
                      <w:bCs/>
                      <w:lang w:eastAsia="zh-CN"/>
                    </w:rPr>
                    <w:t>年市场份额</w:t>
                  </w:r>
                </w:p>
              </w:tc>
            </w:tr>
            <w:tr w:rsidR="00BB3BF8" w:rsidRPr="00B66062" w14:paraId="1F563BFC" w14:textId="77777777" w:rsidTr="00BB3BF8">
              <w:trPr>
                <w:trHeight w:val="1161"/>
              </w:trPr>
              <w:tc>
                <w:tcPr>
                  <w:tcW w:w="2159" w:type="dxa"/>
                  <w:vMerge w:val="restart"/>
                </w:tcPr>
                <w:p w14:paraId="0B6A6AD6" w14:textId="38F5FD26" w:rsidR="00BB3BF8" w:rsidRPr="00B66062" w:rsidRDefault="00BB3BF8" w:rsidP="00BD0D11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集装箱班轮运输</w:t>
                  </w:r>
                  <w:r w:rsidRPr="00B66062">
                    <w:rPr>
                      <w:bCs/>
                      <w:lang w:eastAsia="zh-CN"/>
                    </w:rPr>
                    <w:t>服务市场</w:t>
                  </w:r>
                </w:p>
              </w:tc>
              <w:tc>
                <w:tcPr>
                  <w:tcW w:w="1701" w:type="dxa"/>
                </w:tcPr>
                <w:p w14:paraId="0C913E9B" w14:textId="1A8A3B42" w:rsidR="00BB3BF8" w:rsidRPr="00B66062" w:rsidRDefault="00BB3BF8" w:rsidP="00BB3BF8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中国至阿联酋航线</w:t>
                  </w:r>
                  <w:r w:rsidRPr="00B66062">
                    <w:rPr>
                      <w:b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28621EF4" w14:textId="43BCB519" w:rsidR="00BB3BF8" w:rsidRPr="00B66062" w:rsidRDefault="00BB3BF8" w:rsidP="004C2B1A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574A4A42" w14:textId="77777777" w:rsidR="00BB3BF8" w:rsidRPr="00B66062" w:rsidRDefault="00BB3BF8" w:rsidP="004C2B1A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6C875860" w14:textId="30B4F3F0" w:rsidR="00BB3BF8" w:rsidRPr="00B66062" w:rsidRDefault="00BB3BF8" w:rsidP="00BB3BF8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双方合计：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  <w:tr w:rsidR="00BB3BF8" w:rsidRPr="00B66062" w14:paraId="48CA3035" w14:textId="77777777" w:rsidTr="00CF7783">
              <w:trPr>
                <w:trHeight w:val="1160"/>
              </w:trPr>
              <w:tc>
                <w:tcPr>
                  <w:tcW w:w="2159" w:type="dxa"/>
                  <w:vMerge/>
                </w:tcPr>
                <w:p w14:paraId="1AA9F3C2" w14:textId="77777777" w:rsidR="00BB3BF8" w:rsidRDefault="00BB3BF8" w:rsidP="00BD0D11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04F91559" w14:textId="44100FF8" w:rsidR="00BB3BF8" w:rsidRDefault="00BB3BF8" w:rsidP="004C2B1A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阿联酋至中国航线</w:t>
                  </w:r>
                </w:p>
              </w:tc>
              <w:tc>
                <w:tcPr>
                  <w:tcW w:w="2551" w:type="dxa"/>
                </w:tcPr>
                <w:p w14:paraId="30313D31" w14:textId="77777777" w:rsidR="00BB3BF8" w:rsidRPr="00B66062" w:rsidRDefault="00BB3BF8" w:rsidP="00BB3BF8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6C054A27" w14:textId="77777777" w:rsidR="00BB3BF8" w:rsidRPr="00B66062" w:rsidRDefault="00BB3BF8" w:rsidP="00BB3BF8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62B4AFD4" w14:textId="21FAB3B4" w:rsidR="00BB3BF8" w:rsidRDefault="00BB3BF8" w:rsidP="00BB3BF8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双方合计：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  <w:tr w:rsidR="00A97756" w:rsidRPr="00B66062" w14:paraId="2002AD1B" w14:textId="77777777" w:rsidTr="00CF7783">
              <w:tc>
                <w:tcPr>
                  <w:tcW w:w="2159" w:type="dxa"/>
                </w:tcPr>
                <w:p w14:paraId="4A47F59B" w14:textId="5025D089" w:rsidR="00A97756" w:rsidRPr="00B66062" w:rsidRDefault="00A97756" w:rsidP="00A97756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无船承运服务市场</w:t>
                  </w:r>
                </w:p>
              </w:tc>
              <w:tc>
                <w:tcPr>
                  <w:tcW w:w="1701" w:type="dxa"/>
                </w:tcPr>
                <w:p w14:paraId="45A62AF4" w14:textId="6CC7C650" w:rsidR="00A97756" w:rsidRPr="00B66062" w:rsidRDefault="00BD0D11" w:rsidP="00A97756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中国境内</w:t>
                  </w:r>
                </w:p>
              </w:tc>
              <w:tc>
                <w:tcPr>
                  <w:tcW w:w="2551" w:type="dxa"/>
                </w:tcPr>
                <w:p w14:paraId="7C4C52AF" w14:textId="77777777" w:rsidR="00A97756" w:rsidRPr="00B66062" w:rsidRDefault="00A97756" w:rsidP="00A97756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170CEC2D" w14:textId="77777777" w:rsidR="00A97756" w:rsidRPr="00B66062" w:rsidRDefault="00A97756" w:rsidP="00A97756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69028058" w14:textId="65CD43B3" w:rsidR="00A97756" w:rsidRPr="00B66062" w:rsidRDefault="00A97756" w:rsidP="00A97756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双方合计</w:t>
                  </w:r>
                  <w:bookmarkStart w:id="0" w:name="_GoBack"/>
                  <w:bookmarkEnd w:id="0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</w:tbl>
          <w:p w14:paraId="2A27887A" w14:textId="77777777" w:rsidR="00CF7783" w:rsidRPr="00B66062" w:rsidRDefault="00CF7783" w:rsidP="00122E7F">
            <w:pP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2FAE1D28" w14:textId="0C0EADA0" w:rsidR="00B10DBD" w:rsidRPr="00B66062" w:rsidRDefault="00197E5E" w:rsidP="00122E7F">
            <w:pP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B6606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纵向关联</w:t>
            </w:r>
            <w:r w:rsidR="00DD01D9" w:rsidRPr="00B66062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  <w:tbl>
            <w:tblPr>
              <w:tblStyle w:val="TableGrid"/>
              <w:tblW w:w="6411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1842"/>
              <w:gridCol w:w="2410"/>
            </w:tblGrid>
            <w:tr w:rsidR="00CF7783" w:rsidRPr="00B66062" w14:paraId="6DA516FC" w14:textId="77777777" w:rsidTr="00ED5CFF">
              <w:tc>
                <w:tcPr>
                  <w:tcW w:w="2159" w:type="dxa"/>
                </w:tcPr>
                <w:p w14:paraId="28415FB7" w14:textId="77777777" w:rsidR="00CF7783" w:rsidRPr="00B66062" w:rsidRDefault="00CF7783" w:rsidP="00CF7783">
                  <w:pPr>
                    <w:pStyle w:val="BodyText"/>
                    <w:spacing w:after="0" w:line="360" w:lineRule="exact"/>
                    <w:jc w:val="center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相关商品市场</w:t>
                  </w:r>
                </w:p>
              </w:tc>
              <w:tc>
                <w:tcPr>
                  <w:tcW w:w="1842" w:type="dxa"/>
                </w:tcPr>
                <w:p w14:paraId="6F01A7F9" w14:textId="77777777" w:rsidR="00CF7783" w:rsidRPr="00B66062" w:rsidRDefault="00CF7783" w:rsidP="00CF7783">
                  <w:pPr>
                    <w:pStyle w:val="BodyText"/>
                    <w:spacing w:after="0" w:line="360" w:lineRule="exact"/>
                    <w:jc w:val="center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相关地域市场</w:t>
                  </w:r>
                </w:p>
              </w:tc>
              <w:tc>
                <w:tcPr>
                  <w:tcW w:w="2410" w:type="dxa"/>
                </w:tcPr>
                <w:p w14:paraId="2D95FA03" w14:textId="08083E20" w:rsidR="00CF7783" w:rsidRPr="00B66062" w:rsidRDefault="00CF7783" w:rsidP="001415AB">
                  <w:pPr>
                    <w:pStyle w:val="BodyText"/>
                    <w:spacing w:after="0" w:line="360" w:lineRule="exact"/>
                    <w:jc w:val="center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市场份额</w:t>
                  </w:r>
                </w:p>
              </w:tc>
            </w:tr>
            <w:tr w:rsidR="00393A62" w:rsidRPr="00B66062" w14:paraId="77560FAC" w14:textId="77777777" w:rsidTr="00BB3BF8">
              <w:trPr>
                <w:trHeight w:val="1161"/>
              </w:trPr>
              <w:tc>
                <w:tcPr>
                  <w:tcW w:w="2159" w:type="dxa"/>
                  <w:vMerge w:val="restart"/>
                </w:tcPr>
                <w:p w14:paraId="5CF034E0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上游</w:t>
                  </w:r>
                  <w:r w:rsidRPr="00B66062">
                    <w:rPr>
                      <w:bCs/>
                      <w:lang w:val="en-US" w:eastAsia="zh-CN"/>
                    </w:rPr>
                    <w:t>：</w:t>
                  </w:r>
                  <w:r>
                    <w:rPr>
                      <w:rFonts w:hint="eastAsia"/>
                      <w:bCs/>
                      <w:lang w:val="en-US" w:eastAsia="zh-CN"/>
                    </w:rPr>
                    <w:t>集装箱班轮运输服务</w:t>
                  </w:r>
                  <w:r w:rsidRPr="00B66062">
                    <w:rPr>
                      <w:bCs/>
                      <w:lang w:eastAsia="zh-CN"/>
                    </w:rPr>
                    <w:t>市场</w:t>
                  </w:r>
                </w:p>
                <w:p w14:paraId="06295F1A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下</w:t>
                  </w:r>
                  <w:r w:rsidRPr="00B66062">
                    <w:rPr>
                      <w:bCs/>
                      <w:lang w:eastAsia="zh-CN"/>
                    </w:rPr>
                    <w:t>游</w:t>
                  </w:r>
                  <w:r w:rsidRPr="00B66062">
                    <w:rPr>
                      <w:bCs/>
                      <w:lang w:val="en-US"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无船承运服务市场</w:t>
                  </w:r>
                </w:p>
                <w:p w14:paraId="7C32273B" w14:textId="77777777" w:rsidR="00393A62" w:rsidRPr="00137506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54662ABC" w14:textId="4F293CB0" w:rsidR="00393A62" w:rsidRPr="00137506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上游：中国至阿联酋航线；阿联酋至中国航线</w:t>
                  </w:r>
                </w:p>
              </w:tc>
              <w:tc>
                <w:tcPr>
                  <w:tcW w:w="2410" w:type="dxa"/>
                </w:tcPr>
                <w:p w14:paraId="6E8255B2" w14:textId="6DF1942E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上游：</w:t>
                  </w:r>
                  <w:r w:rsidRPr="00B66062">
                    <w:rPr>
                      <w:bCs/>
                      <w:lang w:eastAsia="zh-CN"/>
                    </w:rPr>
                    <w:t>2022</w:t>
                  </w: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年</w:t>
                  </w:r>
                  <w:r>
                    <w:rPr>
                      <w:rFonts w:hint="eastAsia"/>
                      <w:bCs/>
                      <w:lang w:val="en-US" w:eastAsia="zh-CN"/>
                    </w:rPr>
                    <w:t>集装箱班轮运输服务</w:t>
                  </w:r>
                  <w:r w:rsidRPr="00B66062">
                    <w:rPr>
                      <w:bCs/>
                      <w:lang w:eastAsia="zh-CN"/>
                    </w:rPr>
                    <w:t>市场</w:t>
                  </w:r>
                </w:p>
                <w:p w14:paraId="4D50F98F" w14:textId="77777777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</w:p>
                <w:p w14:paraId="321C3449" w14:textId="10DB6F7E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中国至阿联酋航线：</w:t>
                  </w:r>
                </w:p>
                <w:p w14:paraId="7F0EACEE" w14:textId="77777777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  <w:r>
                    <w:rPr>
                      <w:rFonts w:hint="eastAsia"/>
                      <w:bCs/>
                      <w:lang w:eastAsia="zh-CN"/>
                    </w:rPr>
                    <w:t>;</w:t>
                  </w:r>
                  <w:r>
                    <w:rPr>
                      <w:bCs/>
                      <w:lang w:eastAsia="zh-CN"/>
                    </w:rPr>
                    <w:t xml:space="preserve"> </w:t>
                  </w: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710D338C" w14:textId="77777777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阿联酋至中国航线：</w:t>
                  </w:r>
                </w:p>
                <w:p w14:paraId="3F95F7F4" w14:textId="227F8343" w:rsidR="00393A62" w:rsidRPr="00BB3BF8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  <w:r>
                    <w:rPr>
                      <w:rFonts w:hint="eastAsia"/>
                      <w:bCs/>
                      <w:lang w:eastAsia="zh-CN"/>
                    </w:rPr>
                    <w:t>;</w:t>
                  </w:r>
                  <w:r>
                    <w:rPr>
                      <w:bCs/>
                      <w:lang w:eastAsia="zh-CN"/>
                    </w:rPr>
                    <w:t xml:space="preserve"> </w:t>
                  </w: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  <w:tr w:rsidR="00393A62" w:rsidRPr="00B66062" w14:paraId="4DD88959" w14:textId="77777777" w:rsidTr="00E328E9">
              <w:trPr>
                <w:trHeight w:val="1160"/>
              </w:trPr>
              <w:tc>
                <w:tcPr>
                  <w:tcW w:w="2159" w:type="dxa"/>
                  <w:vMerge/>
                </w:tcPr>
                <w:p w14:paraId="02AD2398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473B2A5A" w14:textId="0224543B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下游：中国境内</w:t>
                  </w:r>
                </w:p>
              </w:tc>
              <w:tc>
                <w:tcPr>
                  <w:tcW w:w="2410" w:type="dxa"/>
                </w:tcPr>
                <w:p w14:paraId="2F16FA07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</w:pPr>
                  <w:r>
                    <w:rPr>
                      <w:rFonts w:hint="eastAsia"/>
                      <w:color w:val="000000" w:themeColor="text1"/>
                      <w:bdr w:val="none" w:sz="0" w:space="0" w:color="auto" w:frame="1"/>
                      <w:lang w:eastAsia="zh-CN"/>
                    </w:rPr>
                    <w:t>下</w:t>
                  </w: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游：</w:t>
                  </w:r>
                  <w:r w:rsidRPr="00B66062">
                    <w:rPr>
                      <w:bCs/>
                      <w:lang w:eastAsia="zh-CN"/>
                    </w:rPr>
                    <w:t>2022</w:t>
                  </w: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年</w:t>
                  </w:r>
                  <w:r w:rsidRPr="00B66062">
                    <w:rPr>
                      <w:bCs/>
                      <w:lang w:eastAsia="zh-CN"/>
                    </w:rPr>
                    <w:t>中国境内无船承运服务市场</w:t>
                  </w:r>
                </w:p>
                <w:p w14:paraId="43D49803" w14:textId="1F829B16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  <w:r>
                    <w:rPr>
                      <w:rFonts w:hint="eastAsia"/>
                      <w:bCs/>
                      <w:lang w:eastAsia="zh-CN"/>
                    </w:rPr>
                    <w:t>;</w:t>
                  </w:r>
                  <w:r>
                    <w:rPr>
                      <w:bCs/>
                      <w:lang w:eastAsia="zh-CN"/>
                    </w:rPr>
                    <w:t xml:space="preserve"> </w:t>
                  </w: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  <w:tr w:rsidR="00393A62" w:rsidRPr="00B66062" w14:paraId="506F2D64" w14:textId="77777777" w:rsidTr="00BB3BF8">
              <w:trPr>
                <w:trHeight w:val="1290"/>
              </w:trPr>
              <w:tc>
                <w:tcPr>
                  <w:tcW w:w="2159" w:type="dxa"/>
                  <w:vMerge w:val="restart"/>
                </w:tcPr>
                <w:p w14:paraId="2123E52D" w14:textId="7237D6D3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上游</w:t>
                  </w:r>
                  <w:r w:rsidRPr="00B66062">
                    <w:rPr>
                      <w:bCs/>
                      <w:lang w:val="en-US" w:eastAsia="zh-CN"/>
                    </w:rPr>
                    <w:t>：</w:t>
                  </w:r>
                  <w:r>
                    <w:rPr>
                      <w:rFonts w:hint="eastAsia"/>
                      <w:bCs/>
                      <w:lang w:val="en-US" w:eastAsia="zh-CN"/>
                    </w:rPr>
                    <w:t>集装箱班轮运输服务</w:t>
                  </w:r>
                  <w:r w:rsidRPr="00B66062">
                    <w:rPr>
                      <w:bCs/>
                      <w:lang w:eastAsia="zh-CN"/>
                    </w:rPr>
                    <w:t>市场</w:t>
                  </w:r>
                </w:p>
                <w:p w14:paraId="716FAFD7" w14:textId="3ACDFEE8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下游：国际</w:t>
                  </w:r>
                  <w:r>
                    <w:rPr>
                      <w:rFonts w:hint="eastAsia"/>
                      <w:bCs/>
                      <w:lang w:eastAsia="zh-CN"/>
                    </w:rPr>
                    <w:t>海上</w:t>
                  </w:r>
                  <w:r w:rsidRPr="00B66062">
                    <w:rPr>
                      <w:bCs/>
                      <w:lang w:eastAsia="zh-CN"/>
                    </w:rPr>
                    <w:t>货运代理服务市场</w:t>
                  </w:r>
                </w:p>
              </w:tc>
              <w:tc>
                <w:tcPr>
                  <w:tcW w:w="1842" w:type="dxa"/>
                </w:tcPr>
                <w:p w14:paraId="64B9B354" w14:textId="41A8EC9A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上游：中国至阿联酋航线；阿联酋至中国航线</w:t>
                  </w:r>
                </w:p>
              </w:tc>
              <w:tc>
                <w:tcPr>
                  <w:tcW w:w="2410" w:type="dxa"/>
                </w:tcPr>
                <w:p w14:paraId="7F20FE69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上游：</w:t>
                  </w:r>
                  <w:r w:rsidRPr="00B66062">
                    <w:rPr>
                      <w:bCs/>
                      <w:lang w:eastAsia="zh-CN"/>
                    </w:rPr>
                    <w:t>2022</w:t>
                  </w: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年</w:t>
                  </w:r>
                  <w:r>
                    <w:rPr>
                      <w:rFonts w:hint="eastAsia"/>
                      <w:bCs/>
                      <w:lang w:val="en-US" w:eastAsia="zh-CN"/>
                    </w:rPr>
                    <w:t>集装箱班轮运输服务</w:t>
                  </w:r>
                  <w:r w:rsidRPr="00B66062">
                    <w:rPr>
                      <w:bCs/>
                      <w:lang w:eastAsia="zh-CN"/>
                    </w:rPr>
                    <w:t>市场</w:t>
                  </w:r>
                </w:p>
                <w:p w14:paraId="2FCCEF17" w14:textId="77777777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</w:p>
                <w:p w14:paraId="63FD2363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中国至阿联酋航线：</w:t>
                  </w:r>
                </w:p>
                <w:p w14:paraId="01438B99" w14:textId="77777777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  <w:r>
                    <w:rPr>
                      <w:rFonts w:hint="eastAsia"/>
                      <w:bCs/>
                      <w:lang w:eastAsia="zh-CN"/>
                    </w:rPr>
                    <w:t>;</w:t>
                  </w:r>
                  <w:r>
                    <w:rPr>
                      <w:bCs/>
                      <w:lang w:eastAsia="zh-CN"/>
                    </w:rPr>
                    <w:t xml:space="preserve"> </w:t>
                  </w: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  <w:p w14:paraId="174F1F03" w14:textId="77777777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>
                    <w:rPr>
                      <w:rFonts w:hint="eastAsia"/>
                      <w:bCs/>
                      <w:lang w:eastAsia="zh-CN"/>
                    </w:rPr>
                    <w:t>阿联酋至中国航线：</w:t>
                  </w:r>
                </w:p>
                <w:p w14:paraId="09A31527" w14:textId="516572EF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  <w:r>
                    <w:rPr>
                      <w:rFonts w:hint="eastAsia"/>
                      <w:bCs/>
                      <w:lang w:eastAsia="zh-CN"/>
                    </w:rPr>
                    <w:t>;</w:t>
                  </w:r>
                  <w:r>
                    <w:rPr>
                      <w:bCs/>
                      <w:lang w:eastAsia="zh-CN"/>
                    </w:rPr>
                    <w:t xml:space="preserve"> </w:t>
                  </w: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  <w:tr w:rsidR="00393A62" w:rsidRPr="00B66062" w14:paraId="1D28597B" w14:textId="77777777" w:rsidTr="00ED5CFF">
              <w:trPr>
                <w:trHeight w:val="1289"/>
              </w:trPr>
              <w:tc>
                <w:tcPr>
                  <w:tcW w:w="2159" w:type="dxa"/>
                  <w:vMerge/>
                </w:tcPr>
                <w:p w14:paraId="11E01D41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5DCEF4EB" w14:textId="7267628C" w:rsidR="00393A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下游：中国境内</w:t>
                  </w:r>
                </w:p>
              </w:tc>
              <w:tc>
                <w:tcPr>
                  <w:tcW w:w="2410" w:type="dxa"/>
                </w:tcPr>
                <w:p w14:paraId="1A0446D0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下游：</w:t>
                  </w:r>
                  <w:r w:rsidRPr="00B66062">
                    <w:rPr>
                      <w:bCs/>
                      <w:lang w:eastAsia="zh-CN"/>
                    </w:rPr>
                    <w:t>2021</w:t>
                  </w:r>
                  <w:r w:rsidRPr="00B66062">
                    <w:rPr>
                      <w:bCs/>
                      <w:lang w:eastAsia="zh-CN"/>
                    </w:rPr>
                    <w:t>年中国境内国际</w:t>
                  </w:r>
                  <w:r>
                    <w:rPr>
                      <w:rFonts w:hint="eastAsia"/>
                      <w:bCs/>
                      <w:lang w:eastAsia="zh-CN"/>
                    </w:rPr>
                    <w:t>海上</w:t>
                  </w:r>
                  <w:r w:rsidRPr="00B66062">
                    <w:rPr>
                      <w:bCs/>
                      <w:lang w:eastAsia="zh-CN"/>
                    </w:rPr>
                    <w:t>货运代理服务市场</w:t>
                  </w:r>
                </w:p>
                <w:p w14:paraId="6796BEF3" w14:textId="311D65FE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  <w:tr w:rsidR="00393A62" w:rsidRPr="00B66062" w14:paraId="577FD5C6" w14:textId="77777777" w:rsidTr="00BB3BF8">
              <w:trPr>
                <w:trHeight w:val="1290"/>
              </w:trPr>
              <w:tc>
                <w:tcPr>
                  <w:tcW w:w="2159" w:type="dxa"/>
                  <w:vMerge w:val="restart"/>
                </w:tcPr>
                <w:p w14:paraId="4A8168FE" w14:textId="66D95734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lastRenderedPageBreak/>
                    <w:t>上游</w:t>
                  </w:r>
                  <w:r w:rsidRPr="00B66062">
                    <w:rPr>
                      <w:bCs/>
                      <w:lang w:val="en-US"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无船承运服务市场</w:t>
                  </w:r>
                </w:p>
                <w:p w14:paraId="542D4652" w14:textId="4BE1A5BC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下游：国际</w:t>
                  </w:r>
                  <w:r>
                    <w:rPr>
                      <w:rFonts w:hint="eastAsia"/>
                      <w:bCs/>
                      <w:lang w:eastAsia="zh-CN"/>
                    </w:rPr>
                    <w:t>海上</w:t>
                  </w:r>
                  <w:r w:rsidRPr="00B66062">
                    <w:rPr>
                      <w:bCs/>
                      <w:lang w:eastAsia="zh-CN"/>
                    </w:rPr>
                    <w:t>货运代理服务市场</w:t>
                  </w:r>
                </w:p>
              </w:tc>
              <w:tc>
                <w:tcPr>
                  <w:tcW w:w="1842" w:type="dxa"/>
                </w:tcPr>
                <w:p w14:paraId="67EF8E54" w14:textId="4D08897F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上游</w:t>
                  </w:r>
                  <w:r w:rsidRPr="00B66062">
                    <w:rPr>
                      <w:bCs/>
                      <w:lang w:val="en-US"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中国境内</w:t>
                  </w:r>
                </w:p>
              </w:tc>
              <w:tc>
                <w:tcPr>
                  <w:tcW w:w="2410" w:type="dxa"/>
                </w:tcPr>
                <w:p w14:paraId="6B10B6D5" w14:textId="7782BF72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上游：</w:t>
                  </w:r>
                  <w:r w:rsidRPr="00B66062">
                    <w:rPr>
                      <w:bCs/>
                      <w:lang w:eastAsia="zh-CN"/>
                    </w:rPr>
                    <w:t>2022</w:t>
                  </w: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年</w:t>
                  </w:r>
                  <w:r w:rsidRPr="00B66062">
                    <w:rPr>
                      <w:bCs/>
                      <w:lang w:eastAsia="zh-CN"/>
                    </w:rPr>
                    <w:t>中国境内无船承运服务市场</w:t>
                  </w:r>
                </w:p>
                <w:p w14:paraId="0A3612E7" w14:textId="45D6E485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  <w:r>
                    <w:rPr>
                      <w:rFonts w:hint="eastAsia"/>
                      <w:bCs/>
                      <w:lang w:eastAsia="zh-CN"/>
                    </w:rPr>
                    <w:t>;</w:t>
                  </w:r>
                  <w:r>
                    <w:rPr>
                      <w:bCs/>
                      <w:lang w:eastAsia="zh-CN"/>
                    </w:rPr>
                    <w:t xml:space="preserve"> </w:t>
                  </w:r>
                  <w:proofErr w:type="spellStart"/>
                  <w:r w:rsidRPr="00B66062">
                    <w:rPr>
                      <w:bCs/>
                      <w:lang w:eastAsia="zh-CN"/>
                    </w:rPr>
                    <w:t>Delanord</w:t>
                  </w:r>
                  <w:proofErr w:type="spellEnd"/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  <w:tr w:rsidR="00393A62" w:rsidRPr="00B66062" w14:paraId="2D62EE49" w14:textId="77777777" w:rsidTr="00ED5CFF">
              <w:trPr>
                <w:trHeight w:val="1289"/>
              </w:trPr>
              <w:tc>
                <w:tcPr>
                  <w:tcW w:w="2159" w:type="dxa"/>
                  <w:vMerge/>
                </w:tcPr>
                <w:p w14:paraId="69C2CD1E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7143F4BA" w14:textId="1F535E35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下游：中国境内</w:t>
                  </w:r>
                </w:p>
              </w:tc>
              <w:tc>
                <w:tcPr>
                  <w:tcW w:w="2410" w:type="dxa"/>
                </w:tcPr>
                <w:p w14:paraId="66CFF763" w14:textId="77777777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bCs/>
                      <w:lang w:eastAsia="zh-CN"/>
                    </w:rPr>
                  </w:pPr>
                  <w:r w:rsidRPr="00B66062">
                    <w:rPr>
                      <w:bCs/>
                      <w:lang w:eastAsia="zh-CN"/>
                    </w:rPr>
                    <w:t>下游：</w:t>
                  </w:r>
                  <w:r w:rsidRPr="00B66062">
                    <w:rPr>
                      <w:bCs/>
                      <w:lang w:eastAsia="zh-CN"/>
                    </w:rPr>
                    <w:t>2021</w:t>
                  </w:r>
                  <w:r w:rsidRPr="00B66062">
                    <w:rPr>
                      <w:bCs/>
                      <w:lang w:eastAsia="zh-CN"/>
                    </w:rPr>
                    <w:t>年中国境内国际</w:t>
                  </w:r>
                  <w:r>
                    <w:rPr>
                      <w:rFonts w:hint="eastAsia"/>
                      <w:bCs/>
                      <w:lang w:eastAsia="zh-CN"/>
                    </w:rPr>
                    <w:t>海上</w:t>
                  </w:r>
                  <w:r w:rsidRPr="00B66062">
                    <w:rPr>
                      <w:bCs/>
                      <w:lang w:eastAsia="zh-CN"/>
                    </w:rPr>
                    <w:t>货运代理服务市场</w:t>
                  </w:r>
                </w:p>
                <w:p w14:paraId="571074F0" w14:textId="53527D9C" w:rsidR="00393A62" w:rsidRPr="00B66062" w:rsidRDefault="00393A62" w:rsidP="00393A62">
                  <w:pPr>
                    <w:pStyle w:val="BodyText"/>
                    <w:spacing w:after="0" w:line="360" w:lineRule="exact"/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</w:pPr>
                  <w:r w:rsidRPr="00B66062">
                    <w:rPr>
                      <w:color w:val="000000" w:themeColor="text1"/>
                      <w:bdr w:val="none" w:sz="0" w:space="0" w:color="auto" w:frame="1"/>
                      <w:lang w:eastAsia="zh-CN"/>
                    </w:rPr>
                    <w:t>阿布扎比港务局</w:t>
                  </w:r>
                  <w:r w:rsidRPr="00B66062">
                    <w:rPr>
                      <w:bCs/>
                      <w:lang w:eastAsia="zh-CN"/>
                    </w:rPr>
                    <w:t>：</w:t>
                  </w:r>
                  <w:r w:rsidRPr="00B66062">
                    <w:rPr>
                      <w:bCs/>
                      <w:lang w:eastAsia="zh-CN"/>
                    </w:rPr>
                    <w:t>0-5%</w:t>
                  </w:r>
                </w:p>
              </w:tc>
            </w:tr>
          </w:tbl>
          <w:p w14:paraId="772D7DB7" w14:textId="1DAA45B8" w:rsidR="00DD01D9" w:rsidRPr="00B66062" w:rsidRDefault="00DD01D9" w:rsidP="00122E7F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648524D1" w14:textId="77777777" w:rsidR="000F5E24" w:rsidRPr="00B66062" w:rsidRDefault="002B64FB" w:rsidP="00554B02">
      <w:pPr>
        <w:rPr>
          <w:rFonts w:ascii="Times New Roman" w:hAnsi="Times New Roman"/>
          <w:sz w:val="24"/>
          <w:szCs w:val="24"/>
        </w:rPr>
      </w:pPr>
    </w:p>
    <w:sectPr w:rsidR="000F5E24" w:rsidRPr="00B66062" w:rsidSect="00ED2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6CEB" w14:textId="77777777" w:rsidR="002B64FB" w:rsidRDefault="002B64FB" w:rsidP="002B7EA6">
      <w:r>
        <w:separator/>
      </w:r>
    </w:p>
  </w:endnote>
  <w:endnote w:type="continuationSeparator" w:id="0">
    <w:p w14:paraId="73136700" w14:textId="77777777" w:rsidR="002B64FB" w:rsidRDefault="002B64FB" w:rsidP="002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7874" w14:textId="77777777" w:rsidR="004C5266" w:rsidRDefault="004C5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CA1A" w14:textId="77777777" w:rsidR="004C5266" w:rsidRDefault="004C5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9295" w14:textId="77777777" w:rsidR="004C5266" w:rsidRDefault="004C5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CFBF" w14:textId="77777777" w:rsidR="002B64FB" w:rsidRDefault="002B64FB" w:rsidP="002B7EA6">
      <w:r>
        <w:separator/>
      </w:r>
    </w:p>
  </w:footnote>
  <w:footnote w:type="continuationSeparator" w:id="0">
    <w:p w14:paraId="7488665F" w14:textId="77777777" w:rsidR="002B64FB" w:rsidRDefault="002B64FB" w:rsidP="002B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6049" w14:textId="77777777" w:rsidR="004C5266" w:rsidRDefault="004C5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C19E" w14:textId="77777777" w:rsidR="004C5266" w:rsidRDefault="004C5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A553" w14:textId="77777777" w:rsidR="004C5266" w:rsidRDefault="004C5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3810"/>
    <w:rsid w:val="00005CBC"/>
    <w:rsid w:val="00022441"/>
    <w:rsid w:val="00037065"/>
    <w:rsid w:val="00050BF4"/>
    <w:rsid w:val="00082B3E"/>
    <w:rsid w:val="00087411"/>
    <w:rsid w:val="000B7A5A"/>
    <w:rsid w:val="000D35D8"/>
    <w:rsid w:val="000D650F"/>
    <w:rsid w:val="000D7EBA"/>
    <w:rsid w:val="000E2E28"/>
    <w:rsid w:val="000E34B9"/>
    <w:rsid w:val="0010048D"/>
    <w:rsid w:val="001031AB"/>
    <w:rsid w:val="001164CD"/>
    <w:rsid w:val="00122E7F"/>
    <w:rsid w:val="00137506"/>
    <w:rsid w:val="001415AB"/>
    <w:rsid w:val="001461BB"/>
    <w:rsid w:val="00155717"/>
    <w:rsid w:val="001837A3"/>
    <w:rsid w:val="00197E5E"/>
    <w:rsid w:val="001C3870"/>
    <w:rsid w:val="001C692C"/>
    <w:rsid w:val="001E4187"/>
    <w:rsid w:val="002A4976"/>
    <w:rsid w:val="002B64FB"/>
    <w:rsid w:val="002B7EA6"/>
    <w:rsid w:val="002D5D1C"/>
    <w:rsid w:val="002D6FF0"/>
    <w:rsid w:val="003025C0"/>
    <w:rsid w:val="0031643E"/>
    <w:rsid w:val="00347CDD"/>
    <w:rsid w:val="00351604"/>
    <w:rsid w:val="00375E19"/>
    <w:rsid w:val="00393A62"/>
    <w:rsid w:val="003A1A0D"/>
    <w:rsid w:val="003A528C"/>
    <w:rsid w:val="003A5E04"/>
    <w:rsid w:val="003C0AEB"/>
    <w:rsid w:val="003C0F31"/>
    <w:rsid w:val="003D6C64"/>
    <w:rsid w:val="003E3EA1"/>
    <w:rsid w:val="003E6A68"/>
    <w:rsid w:val="004009B7"/>
    <w:rsid w:val="004118DF"/>
    <w:rsid w:val="00455284"/>
    <w:rsid w:val="00482832"/>
    <w:rsid w:val="0048349A"/>
    <w:rsid w:val="004908E3"/>
    <w:rsid w:val="0049387F"/>
    <w:rsid w:val="00496055"/>
    <w:rsid w:val="004C2B1A"/>
    <w:rsid w:val="004C3993"/>
    <w:rsid w:val="004C5266"/>
    <w:rsid w:val="004E7374"/>
    <w:rsid w:val="004F0673"/>
    <w:rsid w:val="004F72B4"/>
    <w:rsid w:val="004F7688"/>
    <w:rsid w:val="00501CED"/>
    <w:rsid w:val="005022BA"/>
    <w:rsid w:val="005131F6"/>
    <w:rsid w:val="00515C54"/>
    <w:rsid w:val="00533163"/>
    <w:rsid w:val="00545B2E"/>
    <w:rsid w:val="00554B02"/>
    <w:rsid w:val="005632C0"/>
    <w:rsid w:val="005703C2"/>
    <w:rsid w:val="00572E55"/>
    <w:rsid w:val="005835A4"/>
    <w:rsid w:val="005908B9"/>
    <w:rsid w:val="005B2151"/>
    <w:rsid w:val="005B5517"/>
    <w:rsid w:val="0060331B"/>
    <w:rsid w:val="006467D8"/>
    <w:rsid w:val="00646864"/>
    <w:rsid w:val="00651D33"/>
    <w:rsid w:val="00652E2B"/>
    <w:rsid w:val="00666BE3"/>
    <w:rsid w:val="006808AE"/>
    <w:rsid w:val="006A531B"/>
    <w:rsid w:val="006B3937"/>
    <w:rsid w:val="006F4C28"/>
    <w:rsid w:val="006F7693"/>
    <w:rsid w:val="00710140"/>
    <w:rsid w:val="0071220D"/>
    <w:rsid w:val="00717A11"/>
    <w:rsid w:val="007207FB"/>
    <w:rsid w:val="007433D6"/>
    <w:rsid w:val="00752DEE"/>
    <w:rsid w:val="00767409"/>
    <w:rsid w:val="00770D7C"/>
    <w:rsid w:val="007757FE"/>
    <w:rsid w:val="00782193"/>
    <w:rsid w:val="00791095"/>
    <w:rsid w:val="00792C21"/>
    <w:rsid w:val="007A2BC9"/>
    <w:rsid w:val="007A36B6"/>
    <w:rsid w:val="007B6071"/>
    <w:rsid w:val="007C0D5B"/>
    <w:rsid w:val="007D12C0"/>
    <w:rsid w:val="007E11AE"/>
    <w:rsid w:val="007F2275"/>
    <w:rsid w:val="00806960"/>
    <w:rsid w:val="00815EDA"/>
    <w:rsid w:val="0089067D"/>
    <w:rsid w:val="008A1091"/>
    <w:rsid w:val="008A3A80"/>
    <w:rsid w:val="008B1E23"/>
    <w:rsid w:val="008F6490"/>
    <w:rsid w:val="0090012E"/>
    <w:rsid w:val="00907DA5"/>
    <w:rsid w:val="00915F0F"/>
    <w:rsid w:val="009377AF"/>
    <w:rsid w:val="009532DF"/>
    <w:rsid w:val="00971615"/>
    <w:rsid w:val="00983E14"/>
    <w:rsid w:val="00993270"/>
    <w:rsid w:val="00997019"/>
    <w:rsid w:val="009A5029"/>
    <w:rsid w:val="009A67F9"/>
    <w:rsid w:val="009B2358"/>
    <w:rsid w:val="009C2A2D"/>
    <w:rsid w:val="009D38D5"/>
    <w:rsid w:val="009E0F5C"/>
    <w:rsid w:val="00A05E57"/>
    <w:rsid w:val="00A53F26"/>
    <w:rsid w:val="00A63CD8"/>
    <w:rsid w:val="00A7507C"/>
    <w:rsid w:val="00A97756"/>
    <w:rsid w:val="00AA0CC5"/>
    <w:rsid w:val="00AA5428"/>
    <w:rsid w:val="00AB04BF"/>
    <w:rsid w:val="00AB0B4B"/>
    <w:rsid w:val="00AB6D6F"/>
    <w:rsid w:val="00B10DBD"/>
    <w:rsid w:val="00B13417"/>
    <w:rsid w:val="00B16AFE"/>
    <w:rsid w:val="00B20888"/>
    <w:rsid w:val="00B24F5C"/>
    <w:rsid w:val="00B44662"/>
    <w:rsid w:val="00B6499A"/>
    <w:rsid w:val="00B65DD5"/>
    <w:rsid w:val="00B66062"/>
    <w:rsid w:val="00B95957"/>
    <w:rsid w:val="00BA0162"/>
    <w:rsid w:val="00BB3BF8"/>
    <w:rsid w:val="00BB4A0C"/>
    <w:rsid w:val="00BB4FB9"/>
    <w:rsid w:val="00BC6FD0"/>
    <w:rsid w:val="00BD0D11"/>
    <w:rsid w:val="00BD10B6"/>
    <w:rsid w:val="00BD2E2C"/>
    <w:rsid w:val="00BE00A8"/>
    <w:rsid w:val="00BF5ED6"/>
    <w:rsid w:val="00C07076"/>
    <w:rsid w:val="00C5426E"/>
    <w:rsid w:val="00C75113"/>
    <w:rsid w:val="00C81116"/>
    <w:rsid w:val="00C830AC"/>
    <w:rsid w:val="00C92C3E"/>
    <w:rsid w:val="00C977B5"/>
    <w:rsid w:val="00CB00DF"/>
    <w:rsid w:val="00CB07DC"/>
    <w:rsid w:val="00CB2E54"/>
    <w:rsid w:val="00CC229F"/>
    <w:rsid w:val="00CD6E31"/>
    <w:rsid w:val="00CF5259"/>
    <w:rsid w:val="00CF7783"/>
    <w:rsid w:val="00D02834"/>
    <w:rsid w:val="00D14522"/>
    <w:rsid w:val="00D1722B"/>
    <w:rsid w:val="00D43EC3"/>
    <w:rsid w:val="00D50D7C"/>
    <w:rsid w:val="00D73C72"/>
    <w:rsid w:val="00DB155D"/>
    <w:rsid w:val="00DC073B"/>
    <w:rsid w:val="00DC558F"/>
    <w:rsid w:val="00DD01D9"/>
    <w:rsid w:val="00DD427C"/>
    <w:rsid w:val="00DE14A9"/>
    <w:rsid w:val="00E0592B"/>
    <w:rsid w:val="00E05B2E"/>
    <w:rsid w:val="00E31738"/>
    <w:rsid w:val="00E372F7"/>
    <w:rsid w:val="00E8192E"/>
    <w:rsid w:val="00E86786"/>
    <w:rsid w:val="00E9040C"/>
    <w:rsid w:val="00E93D24"/>
    <w:rsid w:val="00ED2F80"/>
    <w:rsid w:val="00ED5CFF"/>
    <w:rsid w:val="00EF69B7"/>
    <w:rsid w:val="00F1624E"/>
    <w:rsid w:val="00F16713"/>
    <w:rsid w:val="00F240CC"/>
    <w:rsid w:val="00F2497C"/>
    <w:rsid w:val="00F266D4"/>
    <w:rsid w:val="00F32F8A"/>
    <w:rsid w:val="00F336FC"/>
    <w:rsid w:val="00F34E3E"/>
    <w:rsid w:val="00F61028"/>
    <w:rsid w:val="00F62C84"/>
    <w:rsid w:val="00F642B7"/>
    <w:rsid w:val="00F66759"/>
    <w:rsid w:val="00F66970"/>
    <w:rsid w:val="00F810AA"/>
    <w:rsid w:val="00F96CA5"/>
    <w:rsid w:val="00FA660D"/>
    <w:rsid w:val="00FB43EC"/>
    <w:rsid w:val="00FB6B40"/>
    <w:rsid w:val="00FE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D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A6"/>
    <w:rPr>
      <w:rFonts w:ascii="Calibri" w:eastAsia="宋体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A6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84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aliases w:val="VBB Hyperlink"/>
    <w:basedOn w:val="DefaultParagraphFont"/>
    <w:unhideWhenUsed/>
    <w:qFormat/>
    <w:rsid w:val="00DB155D"/>
    <w:rPr>
      <w:color w:val="0563C1" w:themeColor="hyperlink"/>
      <w:u w:val="single"/>
    </w:rPr>
  </w:style>
  <w:style w:type="paragraph" w:styleId="FootnoteText">
    <w:name w:val="footnote text"/>
    <w:aliases w:val="fn,Footnote Text Char Car,ALTS FOOTNOTE,Mod-Footnote Text,ALTS FOOTNOTE Char,Footnote Text Char1 Char,Footnote Text Char Char1 Char,ft Char Char Char,Footnote Text Char3 Char Char Char,Texto nota pie Car,Car,Char Char,ft,F,Footnote Tex,FT"/>
    <w:basedOn w:val="Normal"/>
    <w:link w:val="FootnoteTextChar"/>
    <w:unhideWhenUsed/>
    <w:qFormat/>
    <w:rsid w:val="003A528C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noteTextChar">
    <w:name w:val="Footnote Text Char"/>
    <w:aliases w:val="fn Char,Footnote Text Char Car Char,ALTS FOOTNOTE Char1,Mod-Footnote Text Char,ALTS FOOTNOTE Char Char,Footnote Text Char1 Char Char,Footnote Text Char Char1 Char Char,ft Char Char Char Char,Footnote Text Char3 Char Char Char Char"/>
    <w:basedOn w:val="DefaultParagraphFont"/>
    <w:link w:val="FootnoteText"/>
    <w:rsid w:val="003A528C"/>
    <w:rPr>
      <w:rFonts w:ascii="Times New Roman" w:eastAsia="宋体" w:hAnsi="Times New Roman" w:cs="Times New Roman"/>
      <w:sz w:val="18"/>
      <w:szCs w:val="18"/>
    </w:rPr>
  </w:style>
  <w:style w:type="character" w:styleId="FootnoteReference">
    <w:name w:val="footnote reference"/>
    <w:aliases w:val="-E Fußnotenzeichen,fr,(NECG) Footnote Reference,Footnote Reference Number,Footnote Reference_LVL6,Footnote Reference_LVL61,Footnote Reference_LVL62,Footnote Reference_LVL63,Footnote Reference_LVL64,BVI fnr,Footnote Reference Superscri"/>
    <w:unhideWhenUsed/>
    <w:qFormat/>
    <w:rsid w:val="003A528C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A528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B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BC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CBC"/>
    <w:rPr>
      <w:rFonts w:ascii="Calibri" w:eastAsia="宋体" w:hAnsi="Calibri" w:cs="Times New Roman"/>
      <w:b/>
      <w:bCs/>
    </w:rPr>
  </w:style>
  <w:style w:type="paragraph" w:styleId="BodyText">
    <w:name w:val="Body Text"/>
    <w:basedOn w:val="Normal"/>
    <w:link w:val="BodyTextChar"/>
    <w:rsid w:val="00CF7783"/>
    <w:pPr>
      <w:widowControl/>
      <w:spacing w:after="240"/>
    </w:pPr>
    <w:rPr>
      <w:rFonts w:ascii="Times New Roman" w:hAnsi="Times New Roman"/>
      <w:kern w:val="0"/>
      <w:sz w:val="24"/>
      <w:szCs w:val="24"/>
      <w:lang w:val="en-GB" w:eastAsia="en-GB" w:bidi="ar-AE"/>
    </w:rPr>
  </w:style>
  <w:style w:type="character" w:customStyle="1" w:styleId="BodyTextChar">
    <w:name w:val="Body Text Char"/>
    <w:basedOn w:val="DefaultParagraphFont"/>
    <w:link w:val="BodyText"/>
    <w:rsid w:val="00CF7783"/>
    <w:rPr>
      <w:rFonts w:ascii="Times New Roman" w:eastAsia="宋体" w:hAnsi="Times New Roman" w:cs="Times New Roman"/>
      <w:kern w:val="0"/>
      <w:sz w:val="24"/>
      <w:szCs w:val="24"/>
      <w:lang w:val="en-GB" w:eastAsia="en-GB" w:bidi="ar-AE"/>
    </w:rPr>
  </w:style>
  <w:style w:type="table" w:styleId="TableGrid">
    <w:name w:val="Table Grid"/>
    <w:basedOn w:val="TableNormal"/>
    <w:uiPriority w:val="39"/>
    <w:rsid w:val="00C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AA31-EAAB-4B0C-B4D2-1BBE49D6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874</Characters>
  <Application>Microsoft Office Word</Application>
  <DocSecurity>0</DocSecurity>
  <Lines>87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2023-06-01T02:04:00Z</dcterms:created>
  <dcterms:modified xsi:type="dcterms:W3CDTF">2023-06-16T04:10:00Z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2022-04-27T03:12:02Z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8d082ebb-4aaa-4f66-a2d1-23906e2aef0d</vt:lpwstr>
  </property>
  <property fmtid="{D5CDD505-2E9C-101B-9397-08002B2CF9AE}" pid="8" name="MSIP_Label_42e67a54-274b-43d7-8098-b3ba5f50e576_ContentBits">
    <vt:lpwstr>0</vt:lpwstr>
  </property>
  <property fmtid="{D5CDD505-2E9C-101B-9397-08002B2CF9AE}" pid="9" name="cpCombinedRef">
    <vt:lpwstr>0093891-0000035 DBO1: 2003427683.1</vt:lpwstr>
  </property>
  <property fmtid="{D5CDD505-2E9C-101B-9397-08002B2CF9AE}" pid="10" name="Client">
    <vt:lpwstr>0093891</vt:lpwstr>
  </property>
  <property fmtid="{D5CDD505-2E9C-101B-9397-08002B2CF9AE}" pid="11" name="Matter">
    <vt:lpwstr>0000035</vt:lpwstr>
  </property>
  <property fmtid="{D5CDD505-2E9C-101B-9397-08002B2CF9AE}" pid="12" name="cpClientMatter">
    <vt:lpwstr>0093891-0000035</vt:lpwstr>
  </property>
  <property fmtid="{D5CDD505-2E9C-101B-9397-08002B2CF9AE}" pid="13" name="cpDocRef">
    <vt:lpwstr>DBO1: 2003427683.1</vt:lpwstr>
  </property>
</Properties>
</file>