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ascii="黑体" w:hAnsi="黑体" w:eastAsia="黑体" w:cs="黑体"/>
          <w:bCs/>
          <w:kern w:val="0"/>
          <w:sz w:val="36"/>
          <w:szCs w:val="36"/>
          <w:lang w:val="en-GB" w:bidi="ar-AE"/>
        </w:rPr>
      </w:pPr>
      <w:r>
        <w:rPr>
          <w:rFonts w:hint="eastAsia" w:ascii="黑体" w:hAnsi="黑体" w:eastAsia="黑体" w:cs="黑体"/>
          <w:bCs/>
          <w:kern w:val="0"/>
          <w:sz w:val="36"/>
          <w:szCs w:val="36"/>
          <w:lang w:val="en-GB" w:bidi="ar-AE"/>
        </w:rPr>
        <w:t>经营者集中简易案件公示表</w:t>
      </w:r>
    </w:p>
    <w:tbl>
      <w:tblPr>
        <w:tblStyle w:val="7"/>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eastAsia="en-GB" w:bidi="ar-AE"/>
              </w:rPr>
            </w:pPr>
            <w:r>
              <w:rPr>
                <w:rFonts w:hint="eastAsia" w:ascii="宋体" w:hAnsi="宋体" w:eastAsia="宋体" w:cs="宋体"/>
                <w:bCs/>
                <w:color w:val="000000"/>
                <w:kern w:val="0"/>
                <w:sz w:val="24"/>
                <w:szCs w:val="24"/>
                <w:lang w:val="en-GB" w:eastAsia="en-GB" w:bidi="ar-AE"/>
              </w:rPr>
              <w:t>案件名称</w:t>
            </w: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中金私募股权投资管理有限公司与中国东方资产管理股份有限公司新设合营企业案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交易概况（限200字内）</w:t>
            </w:r>
          </w:p>
        </w:tc>
        <w:tc>
          <w:tcPr>
            <w:tcW w:w="7700" w:type="dxa"/>
            <w:gridSpan w:val="2"/>
            <w:vAlign w:val="center"/>
          </w:tcPr>
          <w:p>
            <w:pPr>
              <w:adjustRightInd w:val="0"/>
              <w:snapToGrid w:val="0"/>
              <w:rPr>
                <w:rFonts w:ascii="Times New Roman" w:hAnsi="Times New Roman" w:eastAsia="宋体" w:cs="宋体"/>
                <w:kern w:val="0"/>
                <w:sz w:val="24"/>
                <w:szCs w:val="24"/>
                <w:lang w:bidi="ar-AE"/>
              </w:rPr>
            </w:pPr>
            <w:r>
              <w:rPr>
                <w:rFonts w:hint="eastAsia" w:ascii="宋体" w:hAnsi="宋体" w:eastAsia="宋体" w:cs="宋体"/>
                <w:bCs/>
                <w:color w:val="auto"/>
                <w:kern w:val="0"/>
                <w:sz w:val="24"/>
                <w:szCs w:val="24"/>
                <w:lang w:bidi="ar-AE"/>
              </w:rPr>
              <w:t>2023年4月20日，中金私募股权投资管理有限公司</w:t>
            </w:r>
            <w:r>
              <w:rPr>
                <w:rFonts w:hint="eastAsia" w:ascii="Times New Roman" w:hAnsi="Times New Roman" w:eastAsia="宋体" w:cs="宋体"/>
                <w:color w:val="auto"/>
                <w:kern w:val="0"/>
                <w:sz w:val="24"/>
                <w:szCs w:val="24"/>
                <w:lang w:bidi="ar-AE"/>
              </w:rPr>
              <w:t>（以下简称“</w:t>
            </w:r>
            <w:r>
              <w:rPr>
                <w:rFonts w:hint="eastAsia" w:ascii="Times New Roman" w:hAnsi="Times New Roman" w:eastAsia="宋体" w:cs="宋体"/>
                <w:bCs/>
                <w:color w:val="auto"/>
                <w:kern w:val="0"/>
                <w:sz w:val="24"/>
                <w:szCs w:val="24"/>
                <w:lang w:bidi="ar-AE"/>
              </w:rPr>
              <w:t>中金</w:t>
            </w:r>
            <w:r>
              <w:rPr>
                <w:rFonts w:hint="eastAsia" w:ascii="宋体" w:hAnsi="宋体" w:eastAsia="宋体" w:cs="宋体"/>
                <w:bCs/>
                <w:color w:val="auto"/>
                <w:kern w:val="0"/>
                <w:sz w:val="24"/>
                <w:szCs w:val="24"/>
                <w:lang w:bidi="ar-AE"/>
              </w:rPr>
              <w:t>私募</w:t>
            </w:r>
            <w:r>
              <w:rPr>
                <w:rFonts w:hint="eastAsia" w:ascii="Times New Roman" w:hAnsi="Times New Roman" w:eastAsia="宋体" w:cs="宋体"/>
                <w:color w:val="auto"/>
                <w:kern w:val="0"/>
                <w:sz w:val="24"/>
                <w:szCs w:val="24"/>
                <w:lang w:bidi="ar-AE"/>
              </w:rPr>
              <w:t>”）、</w:t>
            </w:r>
            <w:r>
              <w:rPr>
                <w:rFonts w:hint="eastAsia" w:ascii="宋体" w:hAnsi="宋体" w:eastAsia="宋体" w:cs="宋体"/>
                <w:bCs/>
                <w:color w:val="auto"/>
                <w:kern w:val="0"/>
                <w:sz w:val="24"/>
                <w:szCs w:val="24"/>
                <w:lang w:bidi="ar-AE"/>
              </w:rPr>
              <w:t>中国东方资产管理股份有限公司</w:t>
            </w:r>
            <w:r>
              <w:rPr>
                <w:rFonts w:hint="eastAsia" w:ascii="Times New Roman" w:hAnsi="Times New Roman" w:eastAsia="宋体" w:cs="宋体"/>
                <w:color w:val="auto"/>
                <w:kern w:val="0"/>
                <w:sz w:val="24"/>
                <w:szCs w:val="24"/>
                <w:lang w:bidi="ar-AE"/>
              </w:rPr>
              <w:t>（以下简称“中国东方”）</w:t>
            </w:r>
            <w:r>
              <w:rPr>
                <w:rFonts w:hint="eastAsia" w:ascii="宋体" w:hAnsi="宋体" w:eastAsia="宋体" w:cs="宋体"/>
                <w:bCs/>
                <w:color w:val="auto"/>
                <w:kern w:val="0"/>
                <w:sz w:val="24"/>
                <w:szCs w:val="24"/>
                <w:lang w:bidi="ar-AE"/>
              </w:rPr>
              <w:t>签订《合伙协议》</w:t>
            </w:r>
            <w:r>
              <w:rPr>
                <w:rFonts w:hint="eastAsia" w:ascii="宋体" w:hAnsi="宋体" w:eastAsia="宋体" w:cs="宋体"/>
                <w:bCs/>
                <w:color w:val="auto"/>
                <w:kern w:val="0"/>
                <w:sz w:val="24"/>
                <w:szCs w:val="24"/>
                <w:lang w:val="en-US" w:eastAsia="zh" w:bidi="ar-AE"/>
              </w:rPr>
              <w:t>,</w:t>
            </w:r>
            <w:r>
              <w:rPr>
                <w:rFonts w:hint="eastAsia" w:ascii="Times New Roman" w:hAnsi="Times New Roman" w:eastAsia="宋体" w:cs="宋体"/>
                <w:color w:val="auto"/>
                <w:kern w:val="0"/>
                <w:sz w:val="24"/>
                <w:szCs w:val="24"/>
                <w:lang w:bidi="ar-AE"/>
              </w:rPr>
              <w:t>拟共同出资设立一家合营企业</w:t>
            </w:r>
            <w:r>
              <w:rPr>
                <w:rFonts w:hint="eastAsia" w:ascii="Times New Roman" w:hAnsi="Times New Roman" w:eastAsia="宋体" w:cs="宋体"/>
                <w:color w:val="auto"/>
                <w:kern w:val="0"/>
                <w:sz w:val="24"/>
                <w:szCs w:val="24"/>
                <w:lang w:val="en-GB" w:bidi="ar-AE"/>
              </w:rPr>
              <w:t>（以下简称“</w:t>
            </w:r>
            <w:r>
              <w:rPr>
                <w:rFonts w:hint="eastAsia" w:ascii="Times New Roman" w:hAnsi="Times New Roman" w:eastAsia="宋体" w:cs="宋体"/>
                <w:bCs/>
                <w:color w:val="auto"/>
                <w:kern w:val="0"/>
                <w:sz w:val="24"/>
                <w:szCs w:val="24"/>
                <w:lang w:val="en-GB" w:bidi="ar-AE"/>
              </w:rPr>
              <w:t>合营企业</w:t>
            </w:r>
            <w:r>
              <w:rPr>
                <w:rFonts w:hint="eastAsia" w:ascii="Times New Roman" w:hAnsi="Times New Roman" w:eastAsia="宋体" w:cs="宋体"/>
                <w:color w:val="auto"/>
                <w:kern w:val="0"/>
                <w:sz w:val="24"/>
                <w:szCs w:val="24"/>
                <w:lang w:val="en-GB" w:bidi="ar-AE"/>
              </w:rPr>
              <w:t>”）</w:t>
            </w:r>
            <w:r>
              <w:rPr>
                <w:rFonts w:hint="eastAsia" w:ascii="Times New Roman" w:hAnsi="Times New Roman" w:eastAsia="宋体" w:cs="宋体"/>
                <w:color w:val="auto"/>
                <w:kern w:val="0"/>
                <w:sz w:val="24"/>
                <w:szCs w:val="24"/>
                <w:lang w:bidi="ar-AE"/>
              </w:rPr>
              <w:t>。</w:t>
            </w:r>
            <w:r>
              <w:rPr>
                <w:rFonts w:hint="eastAsia" w:ascii="Times New Roman" w:hAnsi="Times New Roman" w:eastAsia="宋体" w:cs="宋体"/>
                <w:kern w:val="0"/>
                <w:sz w:val="24"/>
                <w:szCs w:val="24"/>
                <w:lang w:bidi="ar-AE"/>
              </w:rPr>
              <w:t>合营企业拟主要从事中国境内私募股权投资基金业务。本次交易后，中金</w:t>
            </w:r>
            <w:r>
              <w:rPr>
                <w:rFonts w:hint="eastAsia" w:ascii="宋体" w:hAnsi="宋体" w:eastAsia="宋体" w:cs="宋体"/>
                <w:bCs/>
                <w:color w:val="000000"/>
                <w:kern w:val="0"/>
                <w:sz w:val="24"/>
                <w:szCs w:val="24"/>
                <w:lang w:bidi="ar-AE"/>
              </w:rPr>
              <w:t>私募</w:t>
            </w:r>
            <w:r>
              <w:rPr>
                <w:rFonts w:hint="eastAsia" w:ascii="Times New Roman" w:hAnsi="Times New Roman" w:eastAsia="宋体" w:cs="宋体"/>
                <w:kern w:val="0"/>
                <w:sz w:val="24"/>
                <w:szCs w:val="24"/>
                <w:lang w:bidi="ar-AE"/>
              </w:rPr>
              <w:t>、中国东方将分别持有合营企业1</w:t>
            </w:r>
            <w:r>
              <w:rPr>
                <w:rFonts w:ascii="Times New Roman" w:hAnsi="Times New Roman" w:eastAsia="宋体" w:cs="宋体"/>
                <w:kern w:val="0"/>
                <w:sz w:val="24"/>
                <w:szCs w:val="24"/>
                <w:lang w:bidi="ar-AE"/>
              </w:rPr>
              <w:t>%</w:t>
            </w:r>
            <w:r>
              <w:rPr>
                <w:rFonts w:hint="eastAsia" w:ascii="Times New Roman" w:hAnsi="Times New Roman" w:eastAsia="宋体" w:cs="宋体"/>
                <w:kern w:val="0"/>
                <w:sz w:val="24"/>
                <w:szCs w:val="24"/>
                <w:lang w:bidi="ar-AE"/>
              </w:rPr>
              <w:t>、</w:t>
            </w:r>
            <w:r>
              <w:rPr>
                <w:rFonts w:ascii="Times New Roman" w:hAnsi="Times New Roman" w:eastAsia="宋体" w:cs="宋体"/>
                <w:kern w:val="0"/>
                <w:sz w:val="24"/>
                <w:szCs w:val="24"/>
                <w:lang w:bidi="ar-AE"/>
              </w:rPr>
              <w:t>99%</w:t>
            </w:r>
            <w:r>
              <w:rPr>
                <w:rFonts w:hint="eastAsia" w:ascii="Times New Roman" w:hAnsi="Times New Roman" w:eastAsia="宋体" w:cs="宋体"/>
                <w:kern w:val="0"/>
                <w:sz w:val="24"/>
                <w:szCs w:val="24"/>
                <w:lang w:bidi="ar-AE"/>
              </w:rPr>
              <w:t>的合伙份额，对合营企业实施共同控制。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940" w:type="dxa"/>
            <w:vMerge w:val="restart"/>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参与集中的经营者简介（每个限</w:t>
            </w:r>
            <w:r>
              <w:rPr>
                <w:rFonts w:hint="eastAsia" w:ascii="宋体" w:hAnsi="宋体" w:eastAsia="宋体" w:cs="宋体"/>
                <w:bCs/>
                <w:color w:val="000000"/>
                <w:kern w:val="0"/>
                <w:sz w:val="24"/>
                <w:szCs w:val="24"/>
                <w:lang w:bidi="ar-AE"/>
              </w:rPr>
              <w:t>100字以内</w:t>
            </w:r>
            <w:r>
              <w:rPr>
                <w:rFonts w:hint="eastAsia" w:ascii="宋体" w:hAnsi="宋体" w:eastAsia="宋体" w:cs="宋体"/>
                <w:bCs/>
                <w:color w:val="000000"/>
                <w:kern w:val="0"/>
                <w:sz w:val="24"/>
                <w:szCs w:val="24"/>
                <w:lang w:val="en-GB" w:bidi="ar-AE"/>
              </w:rPr>
              <w:t>）</w:t>
            </w:r>
          </w:p>
        </w:tc>
        <w:tc>
          <w:tcPr>
            <w:tcW w:w="1607" w:type="dxa"/>
            <w:vAlign w:val="center"/>
          </w:tcPr>
          <w:p>
            <w:pPr>
              <w:widowControl/>
              <w:adjustRightInd w:val="0"/>
              <w:snapToGrid w:val="0"/>
              <w:rPr>
                <w:rFonts w:ascii="宋体" w:hAnsi="宋体" w:eastAsia="宋体" w:cs="宋体"/>
                <w:bCs/>
                <w:color w:val="000000"/>
                <w:kern w:val="0"/>
                <w:sz w:val="24"/>
                <w:szCs w:val="24"/>
                <w:lang w:val="en-GB" w:bidi="ar-AE"/>
              </w:rPr>
            </w:pPr>
            <w:r>
              <w:rPr>
                <w:rFonts w:hint="eastAsia" w:ascii="宋体" w:hAnsi="宋体" w:eastAsia="宋体" w:cs="宋体"/>
                <w:bCs/>
                <w:color w:val="000000"/>
                <w:kern w:val="0"/>
                <w:sz w:val="24"/>
                <w:szCs w:val="24"/>
                <w:lang w:bidi="ar-AE"/>
              </w:rPr>
              <w:t>1.</w:t>
            </w:r>
            <w:r>
              <w:rPr>
                <w:rFonts w:hint="eastAsia" w:ascii="Times New Roman" w:hAnsi="Times New Roman" w:eastAsia="宋体" w:cs="Simplified Arabic"/>
                <w:kern w:val="0"/>
                <w:sz w:val="24"/>
                <w:szCs w:val="24"/>
                <w:lang w:val="en-GB" w:eastAsia="en-GB" w:bidi="ar-AE"/>
              </w:rPr>
              <w:t xml:space="preserve"> </w:t>
            </w:r>
            <w:r>
              <w:rPr>
                <w:rFonts w:hint="eastAsia" w:ascii="宋体" w:hAnsi="宋体" w:eastAsia="宋体" w:cs="宋体"/>
                <w:bCs/>
                <w:color w:val="000000"/>
                <w:kern w:val="0"/>
                <w:sz w:val="24"/>
                <w:szCs w:val="24"/>
                <w:lang w:val="en-GB" w:bidi="ar-AE"/>
              </w:rPr>
              <w:t>中金私募</w:t>
            </w:r>
          </w:p>
        </w:tc>
        <w:tc>
          <w:tcPr>
            <w:tcW w:w="6093" w:type="dxa"/>
            <w:vAlign w:val="center"/>
          </w:tcPr>
          <w:p>
            <w:pPr>
              <w:widowControl/>
              <w:snapToGrid w:val="0"/>
              <w:jc w:val="left"/>
              <w:rPr>
                <w:rFonts w:ascii="宋体" w:hAnsi="宋体" w:eastAsia="宋体" w:cs="Times New Roman"/>
                <w:sz w:val="24"/>
                <w:szCs w:val="24"/>
              </w:rPr>
            </w:pPr>
            <w:r>
              <w:rPr>
                <w:rFonts w:hint="eastAsia" w:ascii="宋体" w:hAnsi="宋体" w:eastAsia="宋体" w:cs="Times New Roman"/>
                <w:sz w:val="24"/>
                <w:szCs w:val="24"/>
              </w:rPr>
              <w:t>中金</w:t>
            </w:r>
            <w:r>
              <w:rPr>
                <w:rFonts w:hint="eastAsia" w:ascii="宋体" w:hAnsi="宋体" w:eastAsia="宋体" w:cs="宋体"/>
                <w:bCs/>
                <w:color w:val="000000"/>
                <w:kern w:val="0"/>
                <w:sz w:val="24"/>
                <w:szCs w:val="24"/>
                <w:lang w:val="en-GB" w:bidi="ar-AE"/>
              </w:rPr>
              <w:t>私募</w:t>
            </w:r>
            <w:r>
              <w:rPr>
                <w:rFonts w:hint="eastAsia" w:ascii="宋体" w:hAnsi="宋体" w:eastAsia="宋体" w:cs="Times New Roman"/>
                <w:sz w:val="24"/>
                <w:szCs w:val="24"/>
              </w:rPr>
              <w:t>于</w:t>
            </w:r>
            <w:r>
              <w:rPr>
                <w:rFonts w:ascii="宋体" w:hAnsi="宋体" w:eastAsia="宋体" w:cs="Times New Roman"/>
                <w:sz w:val="24"/>
                <w:szCs w:val="24"/>
              </w:rPr>
              <w:t>2020年10月30日成立于</w:t>
            </w:r>
            <w:r>
              <w:rPr>
                <w:rFonts w:hint="eastAsia" w:ascii="宋体" w:hAnsi="宋体" w:eastAsia="宋体" w:cs="Times New Roman"/>
                <w:sz w:val="24"/>
                <w:szCs w:val="24"/>
              </w:rPr>
              <w:t>上海</w:t>
            </w:r>
            <w:r>
              <w:rPr>
                <w:rFonts w:ascii="宋体" w:hAnsi="宋体" w:eastAsia="宋体" w:cs="Times New Roman"/>
                <w:sz w:val="24"/>
                <w:szCs w:val="24"/>
              </w:rPr>
              <w:t>市，主要从事私募股权</w:t>
            </w:r>
            <w:r>
              <w:rPr>
                <w:rFonts w:hint="eastAsia" w:ascii="宋体" w:hAnsi="宋体" w:eastAsia="宋体" w:cs="Times New Roman"/>
                <w:sz w:val="24"/>
                <w:szCs w:val="24"/>
              </w:rPr>
              <w:t>投资</w:t>
            </w:r>
            <w:r>
              <w:rPr>
                <w:rFonts w:ascii="宋体" w:hAnsi="宋体" w:eastAsia="宋体" w:cs="Times New Roman"/>
                <w:sz w:val="24"/>
                <w:szCs w:val="24"/>
              </w:rPr>
              <w:t>基金业务。</w:t>
            </w:r>
          </w:p>
          <w:p>
            <w:pPr>
              <w:widowControl/>
              <w:snapToGrid w:val="0"/>
              <w:jc w:val="left"/>
              <w:rPr>
                <w:rFonts w:ascii="宋体" w:hAnsi="宋体" w:eastAsia="宋体" w:cs="Times New Roman"/>
                <w:sz w:val="24"/>
                <w:szCs w:val="24"/>
              </w:rPr>
            </w:pPr>
            <w:r>
              <w:rPr>
                <w:rFonts w:hint="eastAsia" w:ascii="宋体" w:hAnsi="宋体" w:eastAsia="宋体" w:cs="Times New Roman"/>
                <w:sz w:val="24"/>
                <w:szCs w:val="24"/>
              </w:rPr>
              <w:t>中金</w:t>
            </w:r>
            <w:r>
              <w:rPr>
                <w:rFonts w:hint="eastAsia" w:ascii="宋体" w:hAnsi="宋体" w:eastAsia="宋体" w:cs="宋体"/>
                <w:bCs/>
                <w:color w:val="000000"/>
                <w:kern w:val="0"/>
                <w:sz w:val="24"/>
                <w:szCs w:val="24"/>
                <w:lang w:val="en-GB" w:bidi="ar-AE"/>
              </w:rPr>
              <w:t>私募</w:t>
            </w:r>
            <w:r>
              <w:rPr>
                <w:rFonts w:hint="eastAsia" w:ascii="宋体" w:hAnsi="宋体" w:eastAsia="宋体" w:cs="Times New Roman"/>
                <w:sz w:val="24"/>
                <w:szCs w:val="24"/>
              </w:rPr>
              <w:t>最终控制人为中国国际金融股份有限公司，主要从事投资银行、证券服务等业务。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1607" w:type="dxa"/>
            <w:vAlign w:val="center"/>
          </w:tcPr>
          <w:p>
            <w:pPr>
              <w:widowControl/>
              <w:adjustRightInd w:val="0"/>
              <w:snapToGrid w:val="0"/>
              <w:rPr>
                <w:rFonts w:ascii="宋体" w:hAnsi="宋体" w:eastAsia="宋体" w:cs="宋体"/>
                <w:bCs/>
                <w:color w:val="000000"/>
                <w:kern w:val="0"/>
                <w:sz w:val="24"/>
                <w:szCs w:val="24"/>
                <w:lang w:bidi="ar-AE"/>
              </w:rPr>
            </w:pPr>
            <w:r>
              <w:rPr>
                <w:rFonts w:ascii="宋体" w:hAnsi="宋体" w:eastAsia="宋体" w:cs="宋体"/>
                <w:bCs/>
                <w:color w:val="000000"/>
                <w:kern w:val="0"/>
                <w:sz w:val="24"/>
                <w:szCs w:val="24"/>
                <w:lang w:bidi="ar-AE"/>
              </w:rPr>
              <w:t>2</w:t>
            </w:r>
            <w:r>
              <w:rPr>
                <w:rFonts w:hint="eastAsia" w:ascii="宋体" w:hAnsi="宋体" w:eastAsia="宋体" w:cs="宋体"/>
                <w:bCs/>
                <w:color w:val="000000"/>
                <w:kern w:val="0"/>
                <w:sz w:val="24"/>
                <w:szCs w:val="24"/>
                <w:lang w:bidi="ar-AE"/>
              </w:rPr>
              <w:t xml:space="preserve">. </w:t>
            </w:r>
            <w:r>
              <w:rPr>
                <w:rFonts w:hint="eastAsia" w:ascii="Times New Roman" w:hAnsi="Times New Roman" w:eastAsia="宋体" w:cs="宋体"/>
                <w:kern w:val="0"/>
                <w:sz w:val="24"/>
                <w:szCs w:val="24"/>
                <w:lang w:bidi="ar-AE"/>
              </w:rPr>
              <w:t>中国东方</w:t>
            </w:r>
          </w:p>
        </w:tc>
        <w:tc>
          <w:tcPr>
            <w:tcW w:w="6093" w:type="dxa"/>
            <w:vAlign w:val="center"/>
          </w:tcPr>
          <w:p>
            <w:pPr>
              <w:widowControl/>
              <w:adjustRightInd w:val="0"/>
              <w:snapToGrid w:val="0"/>
              <w:rPr>
                <w:rFonts w:ascii="宋体" w:hAnsi="宋体" w:eastAsia="宋体" w:cs="宋体"/>
                <w:bCs/>
                <w:color w:val="000000"/>
                <w:kern w:val="0"/>
                <w:sz w:val="24"/>
                <w:szCs w:val="24"/>
                <w:lang w:bidi="ar-AE"/>
              </w:rPr>
            </w:pPr>
            <w:r>
              <w:rPr>
                <w:rFonts w:hint="eastAsia" w:ascii="Times New Roman" w:hAnsi="Times New Roman" w:eastAsia="宋体" w:cs="宋体"/>
                <w:kern w:val="0"/>
                <w:sz w:val="24"/>
                <w:szCs w:val="24"/>
                <w:lang w:bidi="ar-AE"/>
              </w:rPr>
              <w:t>中国东方于</w:t>
            </w:r>
            <w:r>
              <w:rPr>
                <w:rFonts w:ascii="宋体" w:hAnsi="宋体" w:eastAsia="宋体" w:cs="宋体"/>
                <w:kern w:val="0"/>
                <w:sz w:val="24"/>
                <w:szCs w:val="24"/>
                <w:lang w:bidi="ar-AE"/>
              </w:rPr>
              <w:t>1999</w:t>
            </w:r>
            <w:r>
              <w:rPr>
                <w:rFonts w:hint="eastAsia" w:ascii="宋体" w:hAnsi="宋体" w:eastAsia="宋体" w:cs="宋体"/>
                <w:kern w:val="0"/>
                <w:sz w:val="24"/>
                <w:szCs w:val="24"/>
                <w:lang w:bidi="ar-AE"/>
              </w:rPr>
              <w:t>年</w:t>
            </w:r>
            <w:r>
              <w:rPr>
                <w:rFonts w:ascii="宋体" w:hAnsi="宋体" w:eastAsia="宋体" w:cs="宋体"/>
                <w:kern w:val="0"/>
                <w:sz w:val="24"/>
                <w:szCs w:val="24"/>
                <w:lang w:bidi="ar-AE"/>
              </w:rPr>
              <w:t>10</w:t>
            </w:r>
            <w:r>
              <w:rPr>
                <w:rFonts w:hint="eastAsia" w:ascii="宋体" w:hAnsi="宋体" w:eastAsia="宋体" w:cs="宋体"/>
                <w:kern w:val="0"/>
                <w:sz w:val="24"/>
                <w:szCs w:val="24"/>
                <w:lang w:bidi="ar-AE"/>
              </w:rPr>
              <w:t>月</w:t>
            </w:r>
            <w:r>
              <w:rPr>
                <w:rFonts w:ascii="宋体" w:hAnsi="宋体" w:eastAsia="宋体" w:cs="宋体"/>
                <w:kern w:val="0"/>
                <w:sz w:val="24"/>
                <w:szCs w:val="24"/>
                <w:lang w:bidi="ar-AE"/>
              </w:rPr>
              <w:t>27</w:t>
            </w:r>
            <w:r>
              <w:rPr>
                <w:rFonts w:hint="eastAsia" w:ascii="宋体" w:hAnsi="宋体" w:eastAsia="宋体" w:cs="宋体"/>
                <w:kern w:val="0"/>
                <w:sz w:val="24"/>
                <w:szCs w:val="24"/>
                <w:lang w:bidi="ar-AE"/>
              </w:rPr>
              <w:t>日</w:t>
            </w:r>
            <w:r>
              <w:rPr>
                <w:rFonts w:hint="eastAsia" w:ascii="宋体" w:hAnsi="宋体" w:eastAsia="宋体" w:cs="宋体"/>
                <w:bCs/>
                <w:color w:val="000000"/>
                <w:kern w:val="0"/>
                <w:sz w:val="24"/>
                <w:szCs w:val="24"/>
                <w:lang w:bidi="ar-AE"/>
              </w:rPr>
              <w:t>成立于北京市，主要从事不良资产收购、管理和处置，以及其他经批准的业务。</w:t>
            </w:r>
          </w:p>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中国东方为中华人民共和国财政部</w:t>
            </w:r>
            <w:r>
              <w:rPr>
                <w:rFonts w:hint="eastAsia" w:ascii="宋体" w:hAnsi="宋体" w:eastAsia="宋体" w:cs="宋体"/>
                <w:bCs/>
                <w:color w:val="000000"/>
                <w:kern w:val="0"/>
                <w:sz w:val="24"/>
                <w:szCs w:val="24"/>
                <w:lang w:eastAsia="zh-CN" w:bidi="ar-AE"/>
              </w:rPr>
              <w:t>下属企业</w:t>
            </w:r>
            <w:bookmarkStart w:id="0" w:name="_GoBack"/>
            <w:bookmarkEnd w:id="0"/>
            <w:r>
              <w:rPr>
                <w:rFonts w:hint="eastAsia" w:ascii="宋体" w:hAnsi="宋体" w:eastAsia="宋体" w:cs="宋体"/>
                <w:bCs/>
                <w:color w:val="000000"/>
                <w:kern w:val="0"/>
                <w:sz w:val="24"/>
                <w:szCs w:val="24"/>
                <w:lang w:bidi="ar-A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940" w:type="dxa"/>
            <w:vMerge w:val="restart"/>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简易案件理由（可以单选，也可以多选）</w:t>
            </w: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FE"/>
            </w:r>
            <w:r>
              <w:rPr>
                <w:rFonts w:hint="eastAsia" w:ascii="宋体" w:hAnsi="宋体" w:eastAsia="宋体" w:cs="宋体"/>
                <w:bCs/>
                <w:color w:val="000000"/>
                <w:kern w:val="0"/>
                <w:sz w:val="24"/>
                <w:szCs w:val="24"/>
                <w:lang w:val="en-GB" w:bidi="ar-AE"/>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备注</w:t>
            </w:r>
          </w:p>
        </w:tc>
        <w:tc>
          <w:tcPr>
            <w:tcW w:w="7700" w:type="dxa"/>
            <w:gridSpan w:val="2"/>
            <w:vAlign w:val="center"/>
          </w:tcPr>
          <w:p>
            <w:pPr>
              <w:widowControl/>
              <w:adjustRightInd w:val="0"/>
              <w:snapToGrid w:val="0"/>
              <w:rPr>
                <w:rFonts w:ascii="宋体" w:hAnsi="宋体" w:eastAsia="宋体" w:cs="宋体"/>
                <w:b/>
                <w:color w:val="000000"/>
                <w:kern w:val="0"/>
                <w:sz w:val="24"/>
                <w:szCs w:val="24"/>
                <w:lang w:val="en-GB" w:bidi="ar-AE"/>
              </w:rPr>
            </w:pPr>
            <w:r>
              <w:rPr>
                <w:rFonts w:hint="eastAsia" w:ascii="宋体" w:hAnsi="宋体" w:eastAsia="宋体" w:cs="宋体"/>
                <w:b/>
                <w:color w:val="000000"/>
                <w:kern w:val="0"/>
                <w:sz w:val="24"/>
                <w:szCs w:val="24"/>
                <w:lang w:val="en-GB" w:bidi="ar-AE"/>
              </w:rPr>
              <w:t>横向重叠：</w:t>
            </w:r>
          </w:p>
          <w:p>
            <w:pPr>
              <w:widowControl/>
              <w:adjustRightInd w:val="0"/>
              <w:snapToGrid w:val="0"/>
              <w:rPr>
                <w:rFonts w:ascii="宋体" w:hAnsi="宋体" w:eastAsia="宋体" w:cs="宋体"/>
                <w:bCs/>
                <w:color w:val="000000"/>
                <w:kern w:val="0"/>
                <w:sz w:val="24"/>
                <w:szCs w:val="24"/>
                <w:lang w:bidi="ar-AE"/>
              </w:rPr>
            </w:pPr>
            <w:r>
              <w:rPr>
                <w:rFonts w:ascii="宋体" w:hAnsi="宋体" w:eastAsia="宋体" w:cs="宋体"/>
                <w:bCs/>
                <w:color w:val="000000"/>
                <w:kern w:val="0"/>
                <w:sz w:val="24"/>
                <w:szCs w:val="24"/>
                <w:lang w:bidi="ar-AE"/>
              </w:rPr>
              <w:t>2022</w:t>
            </w:r>
            <w:r>
              <w:rPr>
                <w:rFonts w:hint="eastAsia" w:ascii="宋体" w:hAnsi="宋体" w:eastAsia="宋体" w:cs="宋体"/>
                <w:bCs/>
                <w:color w:val="000000"/>
                <w:kern w:val="0"/>
                <w:sz w:val="24"/>
                <w:szCs w:val="24"/>
                <w:lang w:bidi="ar-AE"/>
              </w:rPr>
              <w:t>年</w:t>
            </w:r>
            <w:r>
              <w:rPr>
                <w:rFonts w:hint="eastAsia" w:ascii="宋体" w:hAnsi="宋体" w:eastAsia="宋体" w:cs="宋体"/>
                <w:bCs/>
                <w:color w:val="000000"/>
                <w:kern w:val="0"/>
                <w:sz w:val="24"/>
                <w:szCs w:val="24"/>
                <w:lang w:val="en-GB" w:bidi="ar-AE"/>
              </w:rPr>
              <w:t>中国境内</w:t>
            </w:r>
            <w:r>
              <w:rPr>
                <w:rFonts w:hint="eastAsia" w:ascii="宋体" w:hAnsi="宋体" w:eastAsia="宋体" w:cs="宋体"/>
                <w:bCs/>
                <w:color w:val="000000"/>
                <w:kern w:val="0"/>
                <w:sz w:val="24"/>
                <w:szCs w:val="24"/>
                <w:lang w:bidi="ar-AE"/>
              </w:rPr>
              <w:t>私募股权投资基金市场:</w:t>
            </w:r>
          </w:p>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中金私募：</w:t>
            </w:r>
            <w:r>
              <w:rPr>
                <w:rFonts w:ascii="宋体" w:hAnsi="宋体" w:eastAsia="宋体" w:cs="宋体"/>
                <w:bCs/>
                <w:color w:val="000000"/>
                <w:kern w:val="0"/>
                <w:sz w:val="24"/>
                <w:szCs w:val="24"/>
                <w:lang w:bidi="ar-AE"/>
              </w:rPr>
              <w:t>0-5%，</w:t>
            </w:r>
            <w:r>
              <w:rPr>
                <w:rFonts w:hint="eastAsia" w:ascii="宋体" w:hAnsi="宋体" w:eastAsia="宋体" w:cs="宋体"/>
                <w:kern w:val="0"/>
                <w:sz w:val="24"/>
                <w:szCs w:val="24"/>
                <w:lang w:bidi="ar-AE"/>
              </w:rPr>
              <w:t>中国东方</w:t>
            </w:r>
            <w:r>
              <w:rPr>
                <w:rFonts w:hint="eastAsia" w:ascii="宋体" w:hAnsi="宋体" w:eastAsia="宋体" w:cs="宋体"/>
                <w:bCs/>
                <w:color w:val="000000"/>
                <w:kern w:val="0"/>
                <w:sz w:val="24"/>
                <w:szCs w:val="24"/>
                <w:lang w:bidi="ar-AE"/>
              </w:rPr>
              <w:t>: 0-</w:t>
            </w:r>
            <w:r>
              <w:rPr>
                <w:rFonts w:ascii="宋体" w:hAnsi="宋体" w:eastAsia="宋体" w:cs="宋体"/>
                <w:bCs/>
                <w:color w:val="000000"/>
                <w:kern w:val="0"/>
                <w:sz w:val="24"/>
                <w:szCs w:val="24"/>
                <w:lang w:bidi="ar-AE"/>
              </w:rPr>
              <w:t>5</w:t>
            </w:r>
            <w:r>
              <w:rPr>
                <w:rFonts w:hint="eastAsia" w:ascii="宋体" w:hAnsi="宋体" w:eastAsia="宋体" w:cs="宋体"/>
                <w:bCs/>
                <w:color w:val="000000"/>
                <w:kern w:val="0"/>
                <w:sz w:val="24"/>
                <w:szCs w:val="24"/>
                <w:lang w:bidi="ar-AE"/>
              </w:rPr>
              <w:t>%，各方合计：</w:t>
            </w:r>
            <w:r>
              <w:rPr>
                <w:rFonts w:ascii="宋体" w:hAnsi="宋体" w:eastAsia="宋体" w:cs="宋体"/>
                <w:bCs/>
                <w:color w:val="000000"/>
                <w:kern w:val="0"/>
                <w:sz w:val="24"/>
                <w:szCs w:val="24"/>
                <w:lang w:bidi="ar-AE"/>
              </w:rPr>
              <w:t>0-5%</w:t>
            </w:r>
            <w:r>
              <w:rPr>
                <w:rFonts w:hint="eastAsia" w:ascii="宋体" w:hAnsi="宋体" w:eastAsia="宋体" w:cs="宋体"/>
                <w:bCs/>
                <w:color w:val="000000"/>
                <w:kern w:val="0"/>
                <w:sz w:val="24"/>
                <w:szCs w:val="24"/>
                <w:lang w:bidi="ar-AE"/>
              </w:rPr>
              <w:t>。</w:t>
            </w:r>
          </w:p>
        </w:tc>
      </w:tr>
    </w:tbl>
    <w:p>
      <w:pPr>
        <w:widowControl/>
        <w:adjustRightInd w:val="0"/>
        <w:snapToGrid w:val="0"/>
        <w:rPr>
          <w:rFonts w:ascii="Arial" w:hAnsi="Arial" w:eastAsia="楷体_GB2312" w:cs="Arial"/>
          <w:b/>
          <w:color w:val="000000"/>
          <w:kern w:val="0"/>
          <w:sz w:val="22"/>
          <w:lang w:val="en-GB" w:bidi="ar-AE"/>
        </w:rPr>
      </w:pPr>
    </w:p>
    <w:p>
      <w:pPr>
        <w:rPr>
          <w:lang w:val="en-GB"/>
        </w:rPr>
      </w:pPr>
    </w:p>
    <w:sectPr>
      <w:footerReference r:id="rId3" w:type="default"/>
      <w:pgSz w:w="11906" w:h="16838"/>
      <w:pgMar w:top="1440" w:right="1440" w:bottom="1276" w:left="1440"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Simplified Arabic">
    <w:altName w:val="Times New Roman"/>
    <w:panose1 w:val="00000000000000000000"/>
    <w:charset w:val="B2"/>
    <w:family w:val="roman"/>
    <w:pitch w:val="default"/>
    <w:sig w:usb0="00000000" w:usb1="00000000" w:usb2="00000008" w:usb3="00000000" w:csb0="0000004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0" w:type="auto"/>
      <w:tblInd w:w="0" w:type="dxa"/>
      <w:tblLayout w:type="autofit"/>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tc>
        <w:tcPr>
          <w:tcW w:w="3080" w:type="dxa"/>
        </w:tcPr>
        <w:p>
          <w:pPr>
            <w:pStyle w:val="4"/>
          </w:pPr>
        </w:p>
      </w:tc>
      <w:tc>
        <w:tcPr>
          <w:tcW w:w="3081" w:type="dxa"/>
        </w:tcPr>
        <w:p>
          <w:pPr>
            <w:pStyle w:val="4"/>
            <w:jc w:val="center"/>
            <w:rPr>
              <w:rStyle w:val="9"/>
              <w:rFonts w:cs="Times New Roman"/>
            </w:rPr>
          </w:pPr>
          <w:r>
            <w:rPr>
              <w:rStyle w:val="9"/>
              <w:rFonts w:cs="Times New Roman"/>
            </w:rPr>
            <w:t xml:space="preserve">- </w:t>
          </w:r>
          <w:r>
            <w:rPr>
              <w:rStyle w:val="9"/>
              <w:rFonts w:cs="Times New Roman"/>
            </w:rPr>
            <w:fldChar w:fldCharType="begin"/>
          </w:r>
          <w:r>
            <w:rPr>
              <w:rStyle w:val="9"/>
              <w:rFonts w:cs="Times New Roman"/>
            </w:rPr>
            <w:instrText xml:space="preserve"> PAGE   \* MERGEFORMAT </w:instrText>
          </w:r>
          <w:r>
            <w:rPr>
              <w:rStyle w:val="9"/>
              <w:rFonts w:cs="Times New Roman"/>
            </w:rPr>
            <w:fldChar w:fldCharType="separate"/>
          </w:r>
          <w:r>
            <w:rPr>
              <w:rStyle w:val="9"/>
              <w:rFonts w:cs="Times New Roman"/>
              <w:lang w:val="en-US"/>
            </w:rPr>
            <w:t>2</w:t>
          </w:r>
          <w:r>
            <w:rPr>
              <w:rStyle w:val="9"/>
              <w:rFonts w:cs="Times New Roman"/>
            </w:rPr>
            <w:fldChar w:fldCharType="end"/>
          </w:r>
          <w:r>
            <w:rPr>
              <w:rStyle w:val="9"/>
              <w:rFonts w:cs="Times New Roman"/>
            </w:rPr>
            <w:t xml:space="preserve"> -</w:t>
          </w:r>
        </w:p>
      </w:tc>
      <w:tc>
        <w:tcPr>
          <w:tcW w:w="3081" w:type="dxa"/>
        </w:tcPr>
        <w:p>
          <w:pPr>
            <w:pStyle w:val="12"/>
          </w:pPr>
        </w:p>
      </w:tc>
    </w:tr>
  </w:tbl>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11"/>
    <w:rsid w:val="00015747"/>
    <w:rsid w:val="00027223"/>
    <w:rsid w:val="00043DEF"/>
    <w:rsid w:val="000B6092"/>
    <w:rsid w:val="000C7440"/>
    <w:rsid w:val="000E179A"/>
    <w:rsid w:val="000F788F"/>
    <w:rsid w:val="00141A00"/>
    <w:rsid w:val="0021617F"/>
    <w:rsid w:val="00216C0D"/>
    <w:rsid w:val="00223CF3"/>
    <w:rsid w:val="002329C2"/>
    <w:rsid w:val="002504CB"/>
    <w:rsid w:val="002E47B2"/>
    <w:rsid w:val="00314DFE"/>
    <w:rsid w:val="003238F2"/>
    <w:rsid w:val="00331CE4"/>
    <w:rsid w:val="003D0839"/>
    <w:rsid w:val="00455EA5"/>
    <w:rsid w:val="004C42A0"/>
    <w:rsid w:val="004F5CF5"/>
    <w:rsid w:val="00522CF0"/>
    <w:rsid w:val="00537908"/>
    <w:rsid w:val="00537C31"/>
    <w:rsid w:val="00557364"/>
    <w:rsid w:val="00592FC1"/>
    <w:rsid w:val="005A799F"/>
    <w:rsid w:val="005B3B98"/>
    <w:rsid w:val="005E12C1"/>
    <w:rsid w:val="00607BF3"/>
    <w:rsid w:val="006A6973"/>
    <w:rsid w:val="006F5B46"/>
    <w:rsid w:val="00721783"/>
    <w:rsid w:val="00730311"/>
    <w:rsid w:val="007C4031"/>
    <w:rsid w:val="007C761D"/>
    <w:rsid w:val="007E3E19"/>
    <w:rsid w:val="007F2021"/>
    <w:rsid w:val="007F3521"/>
    <w:rsid w:val="0080131B"/>
    <w:rsid w:val="0082305B"/>
    <w:rsid w:val="008B7AEF"/>
    <w:rsid w:val="008C0174"/>
    <w:rsid w:val="008D64B2"/>
    <w:rsid w:val="008E5F31"/>
    <w:rsid w:val="009532DC"/>
    <w:rsid w:val="00977AB0"/>
    <w:rsid w:val="009A1994"/>
    <w:rsid w:val="009A53B0"/>
    <w:rsid w:val="009C10E1"/>
    <w:rsid w:val="009D70C9"/>
    <w:rsid w:val="00A34000"/>
    <w:rsid w:val="00A45856"/>
    <w:rsid w:val="00A60FD0"/>
    <w:rsid w:val="00AD04BD"/>
    <w:rsid w:val="00AD5B42"/>
    <w:rsid w:val="00BD27CA"/>
    <w:rsid w:val="00C44DF2"/>
    <w:rsid w:val="00CE6270"/>
    <w:rsid w:val="00D41C03"/>
    <w:rsid w:val="00D4344B"/>
    <w:rsid w:val="00D6063E"/>
    <w:rsid w:val="00D73369"/>
    <w:rsid w:val="00D9003E"/>
    <w:rsid w:val="00D90EB5"/>
    <w:rsid w:val="00DA22CB"/>
    <w:rsid w:val="00DA4E76"/>
    <w:rsid w:val="00DC4179"/>
    <w:rsid w:val="00DE7A51"/>
    <w:rsid w:val="00E341CD"/>
    <w:rsid w:val="00E67667"/>
    <w:rsid w:val="00E81089"/>
    <w:rsid w:val="00F322C1"/>
    <w:rsid w:val="00F96383"/>
    <w:rsid w:val="00FC43AF"/>
    <w:rsid w:val="00FE7676"/>
    <w:rsid w:val="2FFFA24B"/>
    <w:rsid w:val="7FF7CB21"/>
    <w:rsid w:val="BB570279"/>
    <w:rsid w:val="FF7EB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page number"/>
    <w:qFormat/>
    <w:uiPriority w:val="0"/>
    <w:rPr>
      <w:rFonts w:ascii="Times New Roman" w:hAnsi="Times New Roman" w:eastAsia="宋体" w:cs="Simplified Arabic"/>
      <w:sz w:val="24"/>
      <w:szCs w:val="24"/>
      <w:lang w:val="en-GB" w:bidi="ar-AE"/>
    </w:rPr>
  </w:style>
  <w:style w:type="character" w:styleId="10">
    <w:name w:val="annotation reference"/>
    <w:basedOn w:val="8"/>
    <w:semiHidden/>
    <w:unhideWhenUsed/>
    <w:qFormat/>
    <w:uiPriority w:val="99"/>
    <w:rPr>
      <w:sz w:val="21"/>
      <w:szCs w:val="21"/>
    </w:rPr>
  </w:style>
  <w:style w:type="character" w:customStyle="1" w:styleId="11">
    <w:name w:val="页脚 字符"/>
    <w:basedOn w:val="8"/>
    <w:link w:val="4"/>
    <w:qFormat/>
    <w:uiPriority w:val="99"/>
    <w:rPr>
      <w:sz w:val="18"/>
      <w:szCs w:val="18"/>
    </w:rPr>
  </w:style>
  <w:style w:type="paragraph" w:customStyle="1" w:styleId="12">
    <w:name w:val="Footer Right"/>
    <w:basedOn w:val="4"/>
    <w:qFormat/>
    <w:uiPriority w:val="0"/>
    <w:pPr>
      <w:widowControl/>
      <w:tabs>
        <w:tab w:val="clear" w:pos="4153"/>
        <w:tab w:val="clear" w:pos="8306"/>
      </w:tabs>
      <w:snapToGrid/>
      <w:jc w:val="right"/>
    </w:pPr>
    <w:rPr>
      <w:rFonts w:ascii="Times New Roman" w:hAnsi="Times New Roman" w:eastAsia="宋体" w:cs="Times New Roman"/>
      <w:kern w:val="0"/>
      <w:sz w:val="16"/>
      <w:szCs w:val="16"/>
      <w:lang w:val="en-GB" w:bidi="he-IL"/>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4">
    <w:name w:val="页眉 字符"/>
    <w:basedOn w:val="8"/>
    <w:link w:val="5"/>
    <w:qFormat/>
    <w:uiPriority w:val="99"/>
    <w:rPr>
      <w:sz w:val="18"/>
      <w:szCs w:val="18"/>
    </w:rPr>
  </w:style>
  <w:style w:type="character" w:customStyle="1" w:styleId="15">
    <w:name w:val="批注文字 字符"/>
    <w:basedOn w:val="8"/>
    <w:link w:val="2"/>
    <w:semiHidden/>
    <w:qFormat/>
    <w:uiPriority w:val="99"/>
  </w:style>
  <w:style w:type="character" w:customStyle="1" w:styleId="16">
    <w:name w:val="批注主题 字符"/>
    <w:basedOn w:val="15"/>
    <w:link w:val="6"/>
    <w:semiHidden/>
    <w:qFormat/>
    <w:uiPriority w:val="99"/>
    <w:rPr>
      <w:b/>
      <w:bCs/>
    </w:rPr>
  </w:style>
  <w:style w:type="character" w:customStyle="1" w:styleId="17">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672</Characters>
  <Lines>5</Lines>
  <Paragraphs>1</Paragraphs>
  <TotalTime>8</TotalTime>
  <ScaleCrop>false</ScaleCrop>
  <LinksUpToDate>false</LinksUpToDate>
  <CharactersWithSpaces>788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2023-05-13T02:14:00Z</dcterms:created>
  <dc:creator>Jingya Tang (CCM)</dc:creator>
  <cp:lastModifiedBy>scjgj</cp:lastModifiedBy>
  <cp:lastPrinted>2023-05-15T15:57:36Z</cp:lastPrinted>
  <dcterms:modified xsi:type="dcterms:W3CDTF">2023-05-15T16:14:16Z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