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9833" w14:textId="77777777" w:rsidR="00545D70" w:rsidRDefault="00AB6D99">
      <w:pPr>
        <w:jc w:val="center"/>
        <w:rPr>
          <w:rFonts w:ascii="Arial" w:eastAsia="SimHei" w:hAnsi="Arial" w:cs="Arial"/>
          <w:bCs/>
          <w:sz w:val="36"/>
          <w:szCs w:val="36"/>
        </w:rPr>
      </w:pPr>
      <w:r>
        <w:rPr>
          <w:rFonts w:ascii="Arial" w:eastAsia="SimHei" w:hAnsi="Arial" w:cs="Arial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6093"/>
      </w:tblGrid>
      <w:tr w:rsidR="00545D70" w14:paraId="266D30C5" w14:textId="7777777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7546BD42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35D779EC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bookmarkStart w:id="0" w:name="_Hlk131516345"/>
            <w:r>
              <w:rPr>
                <w:rFonts w:hint="eastAsia"/>
                <w:szCs w:val="21"/>
              </w:rPr>
              <w:t>美国教师保险和年金协会</w:t>
            </w:r>
            <w:bookmarkEnd w:id="0"/>
            <w:r>
              <w:rPr>
                <w:rFonts w:hint="eastAsia"/>
                <w:szCs w:val="21"/>
              </w:rPr>
              <w:t>（“</w:t>
            </w:r>
            <w:r>
              <w:rPr>
                <w:rFonts w:hint="eastAsia"/>
                <w:szCs w:val="21"/>
                <w:lang w:val="en-US"/>
              </w:rPr>
              <w:t>TIAA</w:t>
            </w:r>
            <w:r>
              <w:rPr>
                <w:rFonts w:hint="eastAsia"/>
                <w:szCs w:val="21"/>
              </w:rPr>
              <w:t>”）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收购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>管理第二有限责任公司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（“</w:t>
            </w: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”）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股权案</w:t>
            </w:r>
          </w:p>
        </w:tc>
      </w:tr>
      <w:tr w:rsidR="00545D70" w14:paraId="0373F461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45F4CDD5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交易概况（限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200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5B893D2B" w14:textId="4F4EEA87" w:rsidR="00545D70" w:rsidRDefault="00AB6D99">
            <w:pPr>
              <w:widowControl w:val="0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IA</w:t>
            </w:r>
            <w:r>
              <w:rPr>
                <w:rFonts w:ascii="Arial" w:hAnsi="Arial" w:cs="Arial" w:hint="eastAsia"/>
                <w:lang w:val="en-US"/>
              </w:rPr>
              <w:t>A</w:t>
            </w:r>
            <w:r w:rsidRPr="00AB6D99">
              <w:rPr>
                <w:rFonts w:ascii="Arial" w:hAnsi="Arial" w:cs="Arial" w:hint="eastAsia"/>
                <w:lang w:val="en-US"/>
              </w:rPr>
              <w:t>（通过</w:t>
            </w:r>
            <w:proofErr w:type="spellStart"/>
            <w:r w:rsidRPr="00AB6D99">
              <w:rPr>
                <w:rFonts w:ascii="Arial" w:hAnsi="Arial" w:cs="Arial" w:hint="eastAsia"/>
                <w:lang w:val="en-US"/>
              </w:rPr>
              <w:t>NECRI</w:t>
            </w:r>
            <w:proofErr w:type="spellEnd"/>
            <w:r w:rsidRPr="00AB6D99">
              <w:rPr>
                <w:rFonts w:ascii="Arial" w:hAnsi="Arial" w:cs="Arial" w:hint="eastAsia"/>
                <w:lang w:val="en-US"/>
              </w:rPr>
              <w:t xml:space="preserve"> NL1 B.V.</w:t>
            </w:r>
            <w:r w:rsidRPr="00AB6D99">
              <w:rPr>
                <w:rFonts w:ascii="Arial" w:hAnsi="Arial" w:cs="Arial" w:hint="eastAsia"/>
                <w:lang w:val="en-US"/>
              </w:rPr>
              <w:t>）</w:t>
            </w:r>
            <w:r>
              <w:rPr>
                <w:rFonts w:ascii="Arial" w:hAnsi="Arial" w:cs="Arial"/>
                <w:lang w:val="en-US"/>
              </w:rPr>
              <w:t>与合众道远有限公司</w:t>
            </w:r>
            <w:proofErr w:type="gramStart"/>
            <w:r>
              <w:rPr>
                <w:rFonts w:ascii="Arial" w:hAnsi="Arial" w:cs="Arial"/>
                <w:lang w:val="en-US"/>
              </w:rPr>
              <w:t>（</w:t>
            </w:r>
            <w:r>
              <w:rPr>
                <w:rFonts w:ascii="Arial" w:hAnsi="Arial" w:cs="Arial"/>
                <w:lang w:val="en-US"/>
              </w:rPr>
              <w:t>“</w:t>
            </w:r>
            <w:proofErr w:type="gramEnd"/>
            <w:r>
              <w:rPr>
                <w:rFonts w:ascii="Arial" w:hAnsi="Arial" w:cs="Arial"/>
                <w:lang w:val="en-US"/>
              </w:rPr>
              <w:t>合众道远</w:t>
            </w:r>
            <w:r>
              <w:rPr>
                <w:rFonts w:ascii="Arial" w:hAnsi="Arial" w:cs="Arial"/>
                <w:lang w:val="en-US"/>
              </w:rPr>
              <w:t>”</w:t>
            </w:r>
            <w:r>
              <w:rPr>
                <w:rFonts w:ascii="Arial" w:hAnsi="Arial" w:cs="Arial"/>
                <w:lang w:val="en-US"/>
              </w:rPr>
              <w:t>）</w:t>
            </w:r>
            <w:r>
              <w:rPr>
                <w:rFonts w:ascii="Arial" w:hAnsi="Arial" w:cs="Arial" w:hint="eastAsia"/>
                <w:lang w:val="en-US"/>
              </w:rPr>
              <w:t>签署协议，从合众道远</w:t>
            </w:r>
            <w:r>
              <w:rPr>
                <w:rFonts w:hint="eastAsia"/>
                <w:szCs w:val="21"/>
                <w:lang w:val="en-US"/>
              </w:rPr>
              <w:t>收购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 xml:space="preserve"> </w:t>
            </w:r>
            <w:r>
              <w:rPr>
                <w:szCs w:val="21"/>
              </w:rPr>
              <w:t>15%</w:t>
            </w:r>
            <w:r>
              <w:rPr>
                <w:rFonts w:hint="eastAsia"/>
                <w:szCs w:val="21"/>
              </w:rPr>
              <w:t>股份。</w:t>
            </w: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业务是在荷兰运营一个海上风电场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。</w:t>
            </w:r>
          </w:p>
          <w:p w14:paraId="3AFC7DD4" w14:textId="77777777" w:rsidR="00545D70" w:rsidRDefault="00AB6D99">
            <w:pPr>
              <w:widowControl w:val="0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交易前，合众道远、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瑞士人寿资产管理有限公司（“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LAM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”）、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壳牌海外投资有限责任公司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（“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OI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”）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、株式会社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INPEX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（“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INPEX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”）、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三菱商事株式会社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（“三菱商事”）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Zeeland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风能有限责任公司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（“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Zeeland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”）分别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持有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25%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20%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15%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10%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和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10%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的股份，共同控制</w:t>
            </w: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>；交易后，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LAM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OI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INPEX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IAA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、合众道远、三菱商事和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Zeeland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分别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持有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 xml:space="preserve"> 2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20%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15%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5%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10%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10%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的股份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，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共同控制</w:t>
            </w: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>。</w:t>
            </w:r>
          </w:p>
        </w:tc>
      </w:tr>
      <w:tr w:rsidR="00545D70" w14:paraId="2F8A1B27" w14:textId="7777777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272CFDC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100</w:t>
            </w: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字以内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599CDB40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1.TIAA</w:t>
            </w:r>
          </w:p>
        </w:tc>
        <w:tc>
          <w:tcPr>
            <w:tcW w:w="6093" w:type="dxa"/>
            <w:vAlign w:val="center"/>
          </w:tcPr>
          <w:p w14:paraId="71940628" w14:textId="77777777" w:rsidR="00545D70" w:rsidRDefault="00AB6D99">
            <w:pPr>
              <w:widowControl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ascii="Arial" w:hAnsi="Arial" w:cs="Arial"/>
                <w:lang w:val="en-US"/>
              </w:rPr>
              <w:t>TIAA</w:t>
            </w:r>
            <w:r>
              <w:rPr>
                <w:rFonts w:ascii="Arial" w:hAnsi="Arial" w:cs="Arial" w:hint="eastAsia"/>
                <w:lang w:val="en-US"/>
              </w:rPr>
              <w:t>于</w:t>
            </w:r>
            <w:r>
              <w:rPr>
                <w:rFonts w:ascii="Arial" w:hAnsi="Arial" w:cs="Arial" w:hint="eastAsia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 w:hint="eastAsia"/>
                <w:lang w:val="en-US"/>
              </w:rPr>
              <w:t>年</w:t>
            </w:r>
            <w:r>
              <w:rPr>
                <w:rFonts w:ascii="Arial" w:hAnsi="Arial" w:cs="Arial" w:hint="eastAsia"/>
                <w:lang w:val="en-US"/>
              </w:rPr>
              <w:t>3</w:t>
            </w:r>
            <w:r>
              <w:rPr>
                <w:rFonts w:ascii="Arial" w:hAnsi="Arial" w:cs="Arial" w:hint="eastAsia"/>
                <w:lang w:val="en-US"/>
              </w:rPr>
              <w:t>月成立于美国，主要业务为向美国</w:t>
            </w:r>
            <w:r>
              <w:rPr>
                <w:rFonts w:hint="eastAsia"/>
                <w:szCs w:val="21"/>
              </w:rPr>
              <w:t>非营利性教育和研究机构、政府实体和其他非营利性机构的雇员及其家人提供退休和保险福利，并为这些机构及其雇员提供福利计划和其他经济保障措施的咨询。</w:t>
            </w:r>
          </w:p>
          <w:p w14:paraId="56BD198D" w14:textId="77777777" w:rsidR="00545D70" w:rsidRDefault="00AB6D99">
            <w:pPr>
              <w:widowControl w:val="0"/>
              <w:adjustRightInd w:val="0"/>
              <w:snapToGrid w:val="0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szCs w:val="21"/>
              </w:rPr>
              <w:t>TIAA</w:t>
            </w:r>
            <w:r>
              <w:rPr>
                <w:rFonts w:hint="eastAsia"/>
                <w:szCs w:val="21"/>
              </w:rPr>
              <w:t>无最终控制人。</w:t>
            </w:r>
          </w:p>
        </w:tc>
      </w:tr>
      <w:tr w:rsidR="00545D70" w14:paraId="3DAAB0AB" w14:textId="77777777">
        <w:trPr>
          <w:trHeight w:val="942"/>
        </w:trPr>
        <w:tc>
          <w:tcPr>
            <w:tcW w:w="1940" w:type="dxa"/>
            <w:vMerge/>
            <w:shd w:val="clear" w:color="auto" w:fill="D9D9D9"/>
            <w:vAlign w:val="center"/>
          </w:tcPr>
          <w:p w14:paraId="60407458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3BC3142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2.</w:t>
            </w: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合众道远</w:t>
            </w:r>
          </w:p>
          <w:p w14:paraId="05BA69ED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6093" w:type="dxa"/>
            <w:vAlign w:val="center"/>
          </w:tcPr>
          <w:p w14:paraId="5B7E5E5F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合众道远于</w:t>
            </w:r>
            <w:r>
              <w:rPr>
                <w:rFonts w:ascii="Arial" w:hAnsi="Arial" w:cs="Arial"/>
                <w:bCs/>
                <w:color w:val="000000"/>
              </w:rPr>
              <w:t>1996</w:t>
            </w:r>
            <w:r>
              <w:rPr>
                <w:rFonts w:ascii="Arial" w:hAnsi="Arial" w:cs="Arial"/>
                <w:bCs/>
                <w:color w:val="000000"/>
              </w:rPr>
              <w:t>年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月成立于瑞士，</w:t>
            </w:r>
            <w:r>
              <w:rPr>
                <w:rFonts w:ascii="Arial" w:hAnsi="Arial" w:cs="Arial" w:hint="eastAsia"/>
                <w:bCs/>
                <w:color w:val="000000"/>
              </w:rPr>
              <w:t>主要业务为</w:t>
            </w:r>
            <w:r>
              <w:rPr>
                <w:rFonts w:ascii="Arial" w:hAnsi="Arial" w:cs="Arial"/>
                <w:bCs/>
                <w:color w:val="000000"/>
              </w:rPr>
              <w:t>全球私募市场投资管理，</w:t>
            </w:r>
            <w:r>
              <w:rPr>
                <w:rFonts w:ascii="Arial" w:hAnsi="Arial" w:cs="Arial" w:hint="eastAsia"/>
                <w:bCs/>
                <w:color w:val="000000"/>
              </w:rPr>
              <w:t>业务范围包括私募基金、私募房地产、私募基础建设以及私募债券。</w:t>
            </w:r>
          </w:p>
          <w:p w14:paraId="19F741F9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 w:hint="eastAsia"/>
                <w:bCs/>
                <w:color w:val="000000"/>
              </w:rPr>
              <w:t>合众道远的最终控制人为合众道远控股有限公司，其主要业务为控股合众道远集团。</w:t>
            </w:r>
          </w:p>
        </w:tc>
      </w:tr>
      <w:tr w:rsidR="00545D70" w14:paraId="37FC63CE" w14:textId="77777777">
        <w:trPr>
          <w:trHeight w:val="942"/>
        </w:trPr>
        <w:tc>
          <w:tcPr>
            <w:tcW w:w="1940" w:type="dxa"/>
            <w:vMerge/>
            <w:shd w:val="clear" w:color="auto" w:fill="D9D9D9"/>
            <w:vAlign w:val="center"/>
          </w:tcPr>
          <w:p w14:paraId="58486756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6CB13890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3.</w:t>
            </w:r>
            <w:r>
              <w:rPr>
                <w:rFonts w:ascii="Arial" w:hAnsi="Arial" w:cs="Arial" w:hint="eastAsia"/>
                <w:bCs/>
                <w:color w:val="00000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LAM</w:t>
            </w:r>
          </w:p>
          <w:p w14:paraId="65D3E2D9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6093" w:type="dxa"/>
            <w:vAlign w:val="center"/>
          </w:tcPr>
          <w:p w14:paraId="0CB28676" w14:textId="77777777" w:rsidR="00545D70" w:rsidRDefault="00AB6D99">
            <w:pPr>
              <w:widowControl w:val="0"/>
              <w:adjustRightInd w:val="0"/>
              <w:snapToGrid w:val="0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LAM</w:t>
            </w:r>
            <w:r>
              <w:rPr>
                <w:rFonts w:ascii="Arial" w:hAnsi="Arial" w:cs="Arial"/>
                <w:lang w:val="en-US"/>
              </w:rPr>
              <w:t>于</w:t>
            </w:r>
            <w:r>
              <w:rPr>
                <w:rFonts w:ascii="Arial" w:hAnsi="Arial" w:cs="Arial"/>
                <w:lang w:val="en-US"/>
              </w:rPr>
              <w:t>1974</w:t>
            </w:r>
            <w:r>
              <w:rPr>
                <w:rFonts w:ascii="Arial" w:hAnsi="Arial" w:cs="Arial"/>
                <w:lang w:val="en-US"/>
              </w:rPr>
              <w:t>年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月成立于瑞士，</w:t>
            </w:r>
            <w:r>
              <w:rPr>
                <w:rFonts w:ascii="Arial" w:hAnsi="Arial" w:cs="Arial" w:hint="eastAsia"/>
                <w:lang w:val="en-US"/>
              </w:rPr>
              <w:t>主要业务为</w:t>
            </w:r>
            <w:r>
              <w:rPr>
                <w:rFonts w:ascii="Arial" w:hAnsi="Arial" w:cs="Arial"/>
                <w:lang w:val="en-US"/>
              </w:rPr>
              <w:t>资产管理</w:t>
            </w:r>
            <w:r>
              <w:rPr>
                <w:rFonts w:ascii="Arial" w:hAnsi="Arial" w:cs="Arial" w:hint="eastAsia"/>
                <w:lang w:val="en-US"/>
              </w:rPr>
              <w:t>，以及</w:t>
            </w:r>
            <w:r>
              <w:rPr>
                <w:rFonts w:ascii="Arial" w:hAnsi="Arial" w:cs="Arial"/>
                <w:lang w:val="en-US"/>
              </w:rPr>
              <w:t>在瑞士、法国、德国、卢森堡、英国和北欧国家从事机构化房地产资产管理。</w:t>
            </w:r>
          </w:p>
          <w:p w14:paraId="37DD185C" w14:textId="77777777" w:rsidR="00545D70" w:rsidRDefault="00AB6D99">
            <w:pPr>
              <w:widowControl w:val="0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 w:hint="eastAsia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LAM</w:t>
            </w:r>
            <w:r>
              <w:rPr>
                <w:rFonts w:ascii="Arial" w:hAnsi="Arial" w:cs="Arial" w:hint="eastAsia"/>
                <w:lang w:val="en-US"/>
              </w:rPr>
              <w:t>的最终控制人为瑞士人寿控股有限公司，主要业务为生命保险、退休金和金融服务。</w:t>
            </w:r>
          </w:p>
        </w:tc>
      </w:tr>
      <w:tr w:rsidR="00545D70" w14:paraId="4D15715E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688D9C44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1BB0D304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4.</w:t>
            </w:r>
            <w:r>
              <w:rPr>
                <w:rFonts w:ascii="Arial" w:hAnsi="Arial" w:cs="Arial" w:hint="eastAsia"/>
                <w:bCs/>
                <w:color w:val="000000"/>
                <w:lang w:val="en-US" w:eastAsia="zh-CN"/>
              </w:rPr>
              <w:t>INPEX</w:t>
            </w:r>
          </w:p>
        </w:tc>
        <w:tc>
          <w:tcPr>
            <w:tcW w:w="6093" w:type="dxa"/>
            <w:vAlign w:val="center"/>
          </w:tcPr>
          <w:p w14:paraId="699C1306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INPEX</w:t>
            </w:r>
            <w:r>
              <w:rPr>
                <w:rFonts w:ascii="Arial" w:hAnsi="Arial" w:cs="Arial"/>
                <w:bCs/>
                <w:color w:val="000000"/>
              </w:rPr>
              <w:t>于</w:t>
            </w:r>
            <w:r>
              <w:rPr>
                <w:rFonts w:ascii="Arial" w:hAnsi="Arial" w:cs="Arial"/>
                <w:bCs/>
                <w:color w:val="000000"/>
              </w:rPr>
              <w:t>2006</w:t>
            </w:r>
            <w:r>
              <w:rPr>
                <w:rFonts w:ascii="Arial" w:hAnsi="Arial" w:cs="Arial"/>
                <w:bCs/>
                <w:color w:val="000000"/>
              </w:rPr>
              <w:t>年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>
              <w:rPr>
                <w:rFonts w:ascii="Arial" w:hAnsi="Arial" w:cs="Arial"/>
                <w:bCs/>
                <w:color w:val="000000"/>
              </w:rPr>
              <w:t>月成立于日本，</w:t>
            </w:r>
            <w:r>
              <w:rPr>
                <w:rFonts w:ascii="Arial" w:hAnsi="Arial" w:cs="Arial" w:hint="eastAsia"/>
                <w:bCs/>
                <w:color w:val="000000"/>
              </w:rPr>
              <w:t>在</w:t>
            </w:r>
            <w:r>
              <w:rPr>
                <w:rFonts w:ascii="Arial" w:hAnsi="Arial" w:cs="Arial"/>
                <w:bCs/>
                <w:color w:val="000000"/>
              </w:rPr>
              <w:t>东京证券交易所上市，主要业务是对石油、天然气和其他</w:t>
            </w:r>
            <w:r>
              <w:rPr>
                <w:rFonts w:ascii="Arial" w:hAnsi="Arial" w:cs="Arial" w:hint="eastAsia"/>
                <w:bCs/>
                <w:color w:val="000000"/>
              </w:rPr>
              <w:t>能源</w:t>
            </w:r>
            <w:r>
              <w:rPr>
                <w:rFonts w:ascii="Arial" w:hAnsi="Arial" w:cs="Arial"/>
                <w:bCs/>
                <w:color w:val="000000"/>
              </w:rPr>
              <w:t>资源的研究、勘探、开发、生产</w:t>
            </w:r>
            <w:r>
              <w:rPr>
                <w:rFonts w:ascii="Arial" w:hAnsi="Arial" w:cs="Arial" w:hint="eastAsia"/>
                <w:bCs/>
                <w:color w:val="000000"/>
              </w:rPr>
              <w:t>、</w:t>
            </w:r>
            <w:r>
              <w:rPr>
                <w:rFonts w:ascii="Arial" w:hAnsi="Arial" w:cs="Arial"/>
                <w:bCs/>
                <w:color w:val="000000"/>
              </w:rPr>
              <w:t>销售</w:t>
            </w:r>
            <w:r>
              <w:rPr>
                <w:rFonts w:ascii="Arial" w:hAnsi="Arial" w:cs="Arial" w:hint="eastAsia"/>
                <w:bCs/>
                <w:color w:val="000000"/>
              </w:rPr>
              <w:t>和对相关活动的</w:t>
            </w:r>
            <w:r>
              <w:rPr>
                <w:rFonts w:ascii="Arial" w:hAnsi="Arial" w:cs="Arial"/>
                <w:bCs/>
                <w:color w:val="000000"/>
              </w:rPr>
              <w:t>投资</w:t>
            </w:r>
            <w:r>
              <w:rPr>
                <w:rFonts w:ascii="Arial" w:hAnsi="Arial" w:cs="Arial" w:hint="eastAsia"/>
                <w:bCs/>
                <w:color w:val="000000"/>
              </w:rPr>
              <w:t>与</w:t>
            </w:r>
            <w:r>
              <w:rPr>
                <w:rFonts w:ascii="Arial" w:hAnsi="Arial" w:cs="Arial"/>
                <w:bCs/>
                <w:color w:val="000000"/>
              </w:rPr>
              <w:t>贷款</w:t>
            </w:r>
            <w:r>
              <w:rPr>
                <w:rFonts w:ascii="Arial" w:hAnsi="Arial" w:cs="Arial" w:hint="eastAsia"/>
                <w:bCs/>
                <w:color w:val="000000"/>
              </w:rPr>
              <w:t>等业务</w:t>
            </w:r>
            <w:r>
              <w:rPr>
                <w:rFonts w:ascii="Arial" w:hAnsi="Arial" w:cs="Arial"/>
                <w:bCs/>
                <w:color w:val="000000"/>
              </w:rPr>
              <w:t>。</w:t>
            </w:r>
          </w:p>
          <w:p w14:paraId="2392AD77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 w:hint="eastAsia"/>
                <w:bCs/>
                <w:color w:val="000000"/>
              </w:rPr>
              <w:t>INPEX</w:t>
            </w:r>
            <w:r>
              <w:rPr>
                <w:rFonts w:ascii="Arial" w:hAnsi="Arial" w:cs="Arial" w:hint="eastAsia"/>
                <w:bCs/>
                <w:color w:val="000000"/>
              </w:rPr>
              <w:t>无最终控制人。</w:t>
            </w:r>
          </w:p>
        </w:tc>
      </w:tr>
      <w:tr w:rsidR="00545D70" w14:paraId="676AF504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4AAAF365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1B485823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5.</w:t>
            </w:r>
            <w:r>
              <w:rPr>
                <w:rFonts w:ascii="Arial" w:hAnsi="Arial" w:cs="Arial" w:hint="eastAsia"/>
                <w:lang w:val="en-US" w:eastAsia="zh-CN"/>
              </w:rPr>
              <w:t>三菱商事</w:t>
            </w:r>
          </w:p>
        </w:tc>
        <w:tc>
          <w:tcPr>
            <w:tcW w:w="6093" w:type="dxa"/>
            <w:vAlign w:val="center"/>
          </w:tcPr>
          <w:p w14:paraId="416A0684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三菱商事于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1950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年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月成立于日本，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在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东京证券交易所上市，主要业务是天然气、综合材料、石油与化学、金属资源、产业基础设施、汽车与移动出行、食品、消费产业、电力解决方案和复合城市开发。</w:t>
            </w:r>
          </w:p>
          <w:p w14:paraId="1B88BA97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三菱商事无最终控制人。</w:t>
            </w:r>
          </w:p>
        </w:tc>
      </w:tr>
      <w:tr w:rsidR="00545D70" w14:paraId="2D8AD75C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0D468335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6524392E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6.</w:t>
            </w:r>
            <w:r>
              <w:rPr>
                <w:rFonts w:ascii="Arial" w:hAnsi="Arial" w:cs="Arial" w:hint="eastAsia"/>
                <w:bCs/>
                <w:color w:val="00000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OI</w:t>
            </w:r>
          </w:p>
        </w:tc>
        <w:tc>
          <w:tcPr>
            <w:tcW w:w="6093" w:type="dxa"/>
            <w:vAlign w:val="center"/>
          </w:tcPr>
          <w:p w14:paraId="39B28B01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OI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于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1982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年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月成立于荷兰，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主要业务是投资控股。</w:t>
            </w:r>
          </w:p>
          <w:p w14:paraId="118B716B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OI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的最终控制人是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壳牌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公众公司，其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主要业务是全球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>能源和石油化工。</w:t>
            </w:r>
          </w:p>
        </w:tc>
      </w:tr>
      <w:tr w:rsidR="00545D70" w14:paraId="48E697E7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4274B4D2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1249B24F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7.Zeeland</w:t>
            </w:r>
          </w:p>
        </w:tc>
        <w:tc>
          <w:tcPr>
            <w:tcW w:w="6093" w:type="dxa"/>
            <w:vAlign w:val="center"/>
          </w:tcPr>
          <w:p w14:paraId="304A4842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Zeeland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于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2021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年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月成立于荷兰，其主要业务为投资控股。</w:t>
            </w:r>
          </w:p>
          <w:p w14:paraId="2CC2D15D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Zeeland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的最终控制人是</w:t>
            </w: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Flaveo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绿色能源第一有限责任公司，其主要业务是可再生能源投资。</w:t>
            </w:r>
          </w:p>
        </w:tc>
      </w:tr>
      <w:tr w:rsidR="00545D70" w14:paraId="16095F7E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515E5ED2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C687954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8.</w:t>
            </w:r>
            <w:r>
              <w:rPr>
                <w:rFonts w:ascii="Arial" w:hAnsi="Arial" w:cs="Arial" w:hint="eastAsia"/>
                <w:bCs/>
                <w:color w:val="000000"/>
                <w:lang w:val="en-US" w:eastAsia="zh-CN"/>
              </w:rPr>
              <w:t>Blauwwind</w:t>
            </w:r>
          </w:p>
        </w:tc>
        <w:tc>
          <w:tcPr>
            <w:tcW w:w="6093" w:type="dxa"/>
            <w:vAlign w:val="center"/>
          </w:tcPr>
          <w:p w14:paraId="3F035997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B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lauwwind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>于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2016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年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月成立于荷兰，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其业务如上所述。</w:t>
            </w:r>
          </w:p>
          <w:p w14:paraId="7E90DA08" w14:textId="77777777" w:rsidR="00545D70" w:rsidRDefault="00AB6D99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Blauwwind</w:t>
            </w:r>
            <w:proofErr w:type="spellEnd"/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目前的最终控制人为合众道远、瑞士人寿资产管理、壳牌海外投资、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INPEX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、三菱商事和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Zeeland</w:t>
            </w:r>
            <w:r>
              <w:rPr>
                <w:rFonts w:ascii="Arial" w:hAnsi="Arial" w:cs="Arial" w:hint="eastAsia"/>
                <w:bCs/>
                <w:color w:val="000000"/>
                <w:lang w:val="en-US"/>
              </w:rPr>
              <w:t>。</w:t>
            </w:r>
          </w:p>
        </w:tc>
      </w:tr>
      <w:tr w:rsidR="00545D70" w14:paraId="4A1295F1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00A11E8C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401D960F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Wingdings" w:hAnsi="Wingdings" w:cs="Arial"/>
                <w:bCs/>
                <w:color w:val="000000"/>
                <w:lang w:eastAsia="zh-CN"/>
              </w:rPr>
              <w:sym w:font="Wingdings" w:char="F0A8"/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 xml:space="preserve"> 1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15%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。</w:t>
            </w:r>
          </w:p>
        </w:tc>
      </w:tr>
      <w:tr w:rsidR="00545D70" w14:paraId="2571A5AB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460F1159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B195228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Wingdings" w:hAnsi="Wingdings" w:cs="Arial"/>
                <w:bCs/>
                <w:color w:val="000000"/>
                <w:lang w:eastAsia="zh-CN"/>
              </w:rPr>
              <w:sym w:font="Wingdings" w:char="F0A8"/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 xml:space="preserve"> 2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25%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。</w:t>
            </w:r>
          </w:p>
        </w:tc>
      </w:tr>
      <w:tr w:rsidR="00545D70" w14:paraId="31AA6861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13ED627F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4E85FA8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Wingdings" w:hAnsi="Wingdings" w:cs="Arial"/>
                <w:bCs/>
                <w:color w:val="000000"/>
                <w:lang w:eastAsia="zh-CN"/>
              </w:rPr>
              <w:sym w:font="Wingdings" w:char="F0A8"/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 xml:space="preserve">  3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25%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。</w:t>
            </w:r>
          </w:p>
        </w:tc>
      </w:tr>
      <w:tr w:rsidR="00545D70" w14:paraId="5EC51A78" w14:textId="7777777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71731B7D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7F28AD6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Wingdings" w:hAnsi="Wingdings" w:cs="Arial"/>
                <w:bCs/>
                <w:color w:val="000000"/>
                <w:lang w:eastAsia="zh-CN"/>
              </w:rPr>
              <w:sym w:font="Wingdings" w:char="F0A8"/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 xml:space="preserve"> 4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545D70" w14:paraId="07B7CA64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4A95488E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C0D5D0E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Wingdings" w:hAnsi="Wingdings" w:cs="Arial"/>
                <w:bCs/>
                <w:color w:val="000000"/>
                <w:lang w:eastAsia="zh-CN"/>
              </w:rPr>
              <w:sym w:font="Wingdings" w:char="F0FE"/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 xml:space="preserve"> 5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545D70" w14:paraId="0474865E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30DC0BD0" w14:textId="77777777" w:rsidR="00545D70" w:rsidRDefault="00545D70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4BDE7DC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Wingdings" w:hAnsi="Wingdings" w:cs="Arial"/>
                <w:bCs/>
                <w:color w:val="000000"/>
                <w:lang w:eastAsia="zh-CN"/>
              </w:rPr>
              <w:sym w:font="Wingdings" w:char="F0A8"/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 xml:space="preserve"> 6</w:t>
            </w:r>
            <w:r>
              <w:rPr>
                <w:rFonts w:ascii="Arial" w:hAnsi="Arial" w:cs="Arial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545D70" w14:paraId="7E3AD032" w14:textId="77777777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05537468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6DA56C5B" w14:textId="77777777" w:rsidR="00545D70" w:rsidRDefault="00AB6D99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不适用</w:t>
            </w:r>
          </w:p>
        </w:tc>
      </w:tr>
    </w:tbl>
    <w:p w14:paraId="31521928" w14:textId="77777777" w:rsidR="00545D70" w:rsidRDefault="00545D70">
      <w:pPr>
        <w:pStyle w:val="BodyText"/>
        <w:adjustRightInd w:val="0"/>
        <w:snapToGrid w:val="0"/>
        <w:spacing w:after="0"/>
        <w:rPr>
          <w:rFonts w:ascii="Arial" w:eastAsia="KaiTi_GB2312" w:hAnsi="Arial" w:cs="Arial"/>
          <w:b/>
          <w:color w:val="000000"/>
          <w:sz w:val="22"/>
          <w:szCs w:val="22"/>
          <w:lang w:eastAsia="zh-CN"/>
        </w:rPr>
      </w:pPr>
    </w:p>
    <w:p w14:paraId="359BEB46" w14:textId="77777777" w:rsidR="00545D70" w:rsidRDefault="00545D70">
      <w:pPr>
        <w:pStyle w:val="BodyText"/>
        <w:ind w:firstLineChars="200" w:firstLine="560"/>
        <w:rPr>
          <w:rFonts w:ascii="Arial" w:hAnsi="Arial" w:cs="Arial"/>
          <w:bCs/>
          <w:color w:val="000000"/>
          <w:sz w:val="28"/>
          <w:szCs w:val="28"/>
          <w:lang w:eastAsia="zh-CN"/>
        </w:rPr>
      </w:pPr>
    </w:p>
    <w:sectPr w:rsidR="00545D70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28A7" w14:textId="77777777" w:rsidR="00B24237" w:rsidRDefault="00AB6D99">
      <w:pPr>
        <w:spacing w:after="0"/>
      </w:pPr>
      <w:r>
        <w:separator/>
      </w:r>
    </w:p>
  </w:endnote>
  <w:endnote w:type="continuationSeparator" w:id="0">
    <w:p w14:paraId="7D0A773D" w14:textId="77777777" w:rsidR="00B24237" w:rsidRDefault="00AB6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_GB2312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545D70" w14:paraId="310C8D72" w14:textId="77777777">
      <w:tc>
        <w:tcPr>
          <w:tcW w:w="3080" w:type="dxa"/>
        </w:tcPr>
        <w:p w14:paraId="6C1D1E1E" w14:textId="77777777" w:rsidR="00545D70" w:rsidRDefault="00545D70">
          <w:pPr>
            <w:pStyle w:val="Footer"/>
          </w:pPr>
        </w:p>
      </w:tc>
      <w:tc>
        <w:tcPr>
          <w:tcW w:w="3081" w:type="dxa"/>
        </w:tcPr>
        <w:p w14:paraId="34195A89" w14:textId="77777777" w:rsidR="00545D70" w:rsidRDefault="00AB6D99">
          <w:pPr>
            <w:pStyle w:val="Footer"/>
            <w:jc w:val="center"/>
            <w:rPr>
              <w:rStyle w:val="PageNumber"/>
              <w:rFonts w:cs="Times New Roman"/>
            </w:rPr>
          </w:pPr>
          <w:r>
            <w:rPr>
              <w:rStyle w:val="PageNumber"/>
              <w:rFonts w:cs="Times New Roman"/>
            </w:rPr>
            <w:t xml:space="preserve">- </w:t>
          </w:r>
          <w:r>
            <w:rPr>
              <w:rStyle w:val="PageNumber"/>
              <w:rFonts w:cs="Times New Roman"/>
            </w:rPr>
            <w:fldChar w:fldCharType="begin"/>
          </w:r>
          <w:r>
            <w:rPr>
              <w:rStyle w:val="PageNumber"/>
              <w:rFonts w:cs="Times New Roman"/>
            </w:rPr>
            <w:instrText xml:space="preserve"> PAGE   \* MERGEFORMAT </w:instrText>
          </w:r>
          <w:r>
            <w:rPr>
              <w:rStyle w:val="PageNumber"/>
              <w:rFonts w:cs="Times New Roman"/>
            </w:rPr>
            <w:fldChar w:fldCharType="separate"/>
          </w:r>
          <w:r>
            <w:rPr>
              <w:rStyle w:val="PageNumber"/>
              <w:rFonts w:cs="Times New Roman"/>
              <w:lang w:val="en-US"/>
            </w:rPr>
            <w:t>2</w:t>
          </w:r>
          <w:r>
            <w:rPr>
              <w:rStyle w:val="PageNumber"/>
              <w:rFonts w:cs="Times New Roman"/>
            </w:rPr>
            <w:fldChar w:fldCharType="end"/>
          </w:r>
          <w:r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4BB31A80" w14:textId="77777777" w:rsidR="00545D70" w:rsidRDefault="00545D70">
          <w:pPr>
            <w:pStyle w:val="FooterRight"/>
          </w:pPr>
        </w:p>
      </w:tc>
    </w:tr>
  </w:tbl>
  <w:p w14:paraId="499B2C4D" w14:textId="77777777" w:rsidR="00545D70" w:rsidRDefault="0054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AACE" w14:textId="77777777" w:rsidR="00545D70" w:rsidRDefault="00AB6D99">
      <w:pPr>
        <w:spacing w:after="0"/>
      </w:pPr>
      <w:r>
        <w:separator/>
      </w:r>
    </w:p>
  </w:footnote>
  <w:footnote w:type="continuationSeparator" w:id="0">
    <w:p w14:paraId="709F50C7" w14:textId="77777777" w:rsidR="00545D70" w:rsidRDefault="00AB6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left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left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left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left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left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left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left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left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left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styleLockQFSet/>
  <w:defaultTabStop w:val="720"/>
  <w:drawingGridHorizontalSpacing w:val="1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wNDZmNjNjNmEwYjExZmNjYmZhZDU3YjhlZTA1NjEifQ=="/>
  </w:docVars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AD5F8A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4D650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1CCE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7FFFAE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50B7"/>
    <w:rsid w:val="00021AB2"/>
    <w:rsid w:val="000250A3"/>
    <w:rsid w:val="000326C8"/>
    <w:rsid w:val="00041C40"/>
    <w:rsid w:val="0004292A"/>
    <w:rsid w:val="0004679D"/>
    <w:rsid w:val="000467AA"/>
    <w:rsid w:val="00062616"/>
    <w:rsid w:val="00073E6B"/>
    <w:rsid w:val="0007723F"/>
    <w:rsid w:val="00077D60"/>
    <w:rsid w:val="00080FEB"/>
    <w:rsid w:val="00083590"/>
    <w:rsid w:val="00092F4E"/>
    <w:rsid w:val="000B58E5"/>
    <w:rsid w:val="000B653C"/>
    <w:rsid w:val="000C6953"/>
    <w:rsid w:val="000E29A9"/>
    <w:rsid w:val="000E3A81"/>
    <w:rsid w:val="000E6037"/>
    <w:rsid w:val="00104581"/>
    <w:rsid w:val="00107E19"/>
    <w:rsid w:val="00115F62"/>
    <w:rsid w:val="00123E26"/>
    <w:rsid w:val="00145B05"/>
    <w:rsid w:val="001639D8"/>
    <w:rsid w:val="00186A05"/>
    <w:rsid w:val="001965E2"/>
    <w:rsid w:val="001B4EA1"/>
    <w:rsid w:val="001C5840"/>
    <w:rsid w:val="001D1555"/>
    <w:rsid w:val="001D6168"/>
    <w:rsid w:val="001E0F1F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50E61"/>
    <w:rsid w:val="00261F94"/>
    <w:rsid w:val="00267941"/>
    <w:rsid w:val="00287E91"/>
    <w:rsid w:val="00291652"/>
    <w:rsid w:val="0029485E"/>
    <w:rsid w:val="002964A1"/>
    <w:rsid w:val="002A25F2"/>
    <w:rsid w:val="002A7C26"/>
    <w:rsid w:val="002F09A7"/>
    <w:rsid w:val="002F5271"/>
    <w:rsid w:val="00306B88"/>
    <w:rsid w:val="00310488"/>
    <w:rsid w:val="00311263"/>
    <w:rsid w:val="003119E1"/>
    <w:rsid w:val="0034107F"/>
    <w:rsid w:val="00344D27"/>
    <w:rsid w:val="0034759D"/>
    <w:rsid w:val="0035604C"/>
    <w:rsid w:val="003614FA"/>
    <w:rsid w:val="00371332"/>
    <w:rsid w:val="003850D4"/>
    <w:rsid w:val="00385F00"/>
    <w:rsid w:val="003866EF"/>
    <w:rsid w:val="003A4565"/>
    <w:rsid w:val="003B27EC"/>
    <w:rsid w:val="003B2F86"/>
    <w:rsid w:val="003B41D6"/>
    <w:rsid w:val="003B4439"/>
    <w:rsid w:val="003B4C9E"/>
    <w:rsid w:val="003B7CBC"/>
    <w:rsid w:val="003C3456"/>
    <w:rsid w:val="003C6C86"/>
    <w:rsid w:val="003E3B57"/>
    <w:rsid w:val="003E73DB"/>
    <w:rsid w:val="003F711E"/>
    <w:rsid w:val="00410914"/>
    <w:rsid w:val="004119F5"/>
    <w:rsid w:val="004166B2"/>
    <w:rsid w:val="004203EF"/>
    <w:rsid w:val="00427E52"/>
    <w:rsid w:val="00442113"/>
    <w:rsid w:val="00446353"/>
    <w:rsid w:val="0044739B"/>
    <w:rsid w:val="00467A6B"/>
    <w:rsid w:val="0049707A"/>
    <w:rsid w:val="004973DB"/>
    <w:rsid w:val="0049771A"/>
    <w:rsid w:val="004A4BF1"/>
    <w:rsid w:val="004C3420"/>
    <w:rsid w:val="004D018B"/>
    <w:rsid w:val="004D124C"/>
    <w:rsid w:val="004D38E8"/>
    <w:rsid w:val="004D4435"/>
    <w:rsid w:val="004E1018"/>
    <w:rsid w:val="00512A53"/>
    <w:rsid w:val="00523905"/>
    <w:rsid w:val="005251B9"/>
    <w:rsid w:val="00530BB4"/>
    <w:rsid w:val="00545A47"/>
    <w:rsid w:val="00545D70"/>
    <w:rsid w:val="0057200D"/>
    <w:rsid w:val="005777EF"/>
    <w:rsid w:val="00591CEC"/>
    <w:rsid w:val="00593531"/>
    <w:rsid w:val="005A4CBE"/>
    <w:rsid w:val="005B0CEB"/>
    <w:rsid w:val="005B18A3"/>
    <w:rsid w:val="005B36F3"/>
    <w:rsid w:val="005D277C"/>
    <w:rsid w:val="005D6D17"/>
    <w:rsid w:val="005E7B2F"/>
    <w:rsid w:val="005F5280"/>
    <w:rsid w:val="005F7223"/>
    <w:rsid w:val="00601590"/>
    <w:rsid w:val="0060413B"/>
    <w:rsid w:val="00605EE6"/>
    <w:rsid w:val="0060669E"/>
    <w:rsid w:val="006101CF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5A9"/>
    <w:rsid w:val="00682729"/>
    <w:rsid w:val="006A059B"/>
    <w:rsid w:val="006A4EAE"/>
    <w:rsid w:val="006B4541"/>
    <w:rsid w:val="006D16B0"/>
    <w:rsid w:val="006D1E2B"/>
    <w:rsid w:val="006E054C"/>
    <w:rsid w:val="006E0D98"/>
    <w:rsid w:val="006E3180"/>
    <w:rsid w:val="006E6E26"/>
    <w:rsid w:val="006E70AA"/>
    <w:rsid w:val="006F7A98"/>
    <w:rsid w:val="007029CB"/>
    <w:rsid w:val="00705778"/>
    <w:rsid w:val="00710193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5554"/>
    <w:rsid w:val="007B651A"/>
    <w:rsid w:val="007B6ED8"/>
    <w:rsid w:val="007B75E4"/>
    <w:rsid w:val="007C0F74"/>
    <w:rsid w:val="007E2608"/>
    <w:rsid w:val="007F1726"/>
    <w:rsid w:val="0080200E"/>
    <w:rsid w:val="00803A33"/>
    <w:rsid w:val="008051ED"/>
    <w:rsid w:val="00811775"/>
    <w:rsid w:val="008248B2"/>
    <w:rsid w:val="00834D88"/>
    <w:rsid w:val="00861109"/>
    <w:rsid w:val="00864085"/>
    <w:rsid w:val="008756AD"/>
    <w:rsid w:val="008803D0"/>
    <w:rsid w:val="00880F24"/>
    <w:rsid w:val="008836AF"/>
    <w:rsid w:val="00885C9B"/>
    <w:rsid w:val="00893879"/>
    <w:rsid w:val="008B2172"/>
    <w:rsid w:val="008D4ED8"/>
    <w:rsid w:val="008D644E"/>
    <w:rsid w:val="008E5BCA"/>
    <w:rsid w:val="009022B0"/>
    <w:rsid w:val="00905F4A"/>
    <w:rsid w:val="009145E4"/>
    <w:rsid w:val="009301D9"/>
    <w:rsid w:val="0094346F"/>
    <w:rsid w:val="00947FC7"/>
    <w:rsid w:val="00953187"/>
    <w:rsid w:val="009551E9"/>
    <w:rsid w:val="0096333E"/>
    <w:rsid w:val="00965502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D7FF1"/>
    <w:rsid w:val="009E0E21"/>
    <w:rsid w:val="009F0698"/>
    <w:rsid w:val="00A05705"/>
    <w:rsid w:val="00A16F03"/>
    <w:rsid w:val="00A21136"/>
    <w:rsid w:val="00A3323A"/>
    <w:rsid w:val="00A44462"/>
    <w:rsid w:val="00A46C66"/>
    <w:rsid w:val="00A46FAF"/>
    <w:rsid w:val="00A5674A"/>
    <w:rsid w:val="00A623EF"/>
    <w:rsid w:val="00A64F91"/>
    <w:rsid w:val="00A728F1"/>
    <w:rsid w:val="00A7438D"/>
    <w:rsid w:val="00A74797"/>
    <w:rsid w:val="00A7601D"/>
    <w:rsid w:val="00A81984"/>
    <w:rsid w:val="00AA0F23"/>
    <w:rsid w:val="00AA3E2F"/>
    <w:rsid w:val="00AA46CA"/>
    <w:rsid w:val="00AA535B"/>
    <w:rsid w:val="00AB6D99"/>
    <w:rsid w:val="00AC3273"/>
    <w:rsid w:val="00AC68C4"/>
    <w:rsid w:val="00AD310D"/>
    <w:rsid w:val="00AD3D4D"/>
    <w:rsid w:val="00AE4069"/>
    <w:rsid w:val="00AE7916"/>
    <w:rsid w:val="00AF09EA"/>
    <w:rsid w:val="00AF1D6D"/>
    <w:rsid w:val="00AF5632"/>
    <w:rsid w:val="00B003A0"/>
    <w:rsid w:val="00B04913"/>
    <w:rsid w:val="00B2169A"/>
    <w:rsid w:val="00B24237"/>
    <w:rsid w:val="00B31D4D"/>
    <w:rsid w:val="00B3616B"/>
    <w:rsid w:val="00B37633"/>
    <w:rsid w:val="00B518C9"/>
    <w:rsid w:val="00B52EAC"/>
    <w:rsid w:val="00B54969"/>
    <w:rsid w:val="00B80B9E"/>
    <w:rsid w:val="00B838DA"/>
    <w:rsid w:val="00B86E3A"/>
    <w:rsid w:val="00BA017F"/>
    <w:rsid w:val="00BA0660"/>
    <w:rsid w:val="00BC4B57"/>
    <w:rsid w:val="00BD535F"/>
    <w:rsid w:val="00BE6E64"/>
    <w:rsid w:val="00BF31B7"/>
    <w:rsid w:val="00BF4F99"/>
    <w:rsid w:val="00C10048"/>
    <w:rsid w:val="00C1560D"/>
    <w:rsid w:val="00C30E9B"/>
    <w:rsid w:val="00C424FC"/>
    <w:rsid w:val="00C51ECC"/>
    <w:rsid w:val="00C600D9"/>
    <w:rsid w:val="00C66135"/>
    <w:rsid w:val="00C67ADA"/>
    <w:rsid w:val="00C810E8"/>
    <w:rsid w:val="00C847C2"/>
    <w:rsid w:val="00C97C6E"/>
    <w:rsid w:val="00CA6613"/>
    <w:rsid w:val="00CB6816"/>
    <w:rsid w:val="00CC69AD"/>
    <w:rsid w:val="00CF1664"/>
    <w:rsid w:val="00CF5A8A"/>
    <w:rsid w:val="00D01278"/>
    <w:rsid w:val="00D12AB1"/>
    <w:rsid w:val="00D1353A"/>
    <w:rsid w:val="00D21966"/>
    <w:rsid w:val="00D23B36"/>
    <w:rsid w:val="00D27AEB"/>
    <w:rsid w:val="00D4587A"/>
    <w:rsid w:val="00D53BAE"/>
    <w:rsid w:val="00D57DBA"/>
    <w:rsid w:val="00D57EBC"/>
    <w:rsid w:val="00D6387A"/>
    <w:rsid w:val="00D71F76"/>
    <w:rsid w:val="00D77095"/>
    <w:rsid w:val="00D80573"/>
    <w:rsid w:val="00D94BB1"/>
    <w:rsid w:val="00D961C9"/>
    <w:rsid w:val="00D97B80"/>
    <w:rsid w:val="00DA1D73"/>
    <w:rsid w:val="00DB2761"/>
    <w:rsid w:val="00DB2FF6"/>
    <w:rsid w:val="00DD0E0C"/>
    <w:rsid w:val="00DD7765"/>
    <w:rsid w:val="00DE522D"/>
    <w:rsid w:val="00E23955"/>
    <w:rsid w:val="00E417DF"/>
    <w:rsid w:val="00E47327"/>
    <w:rsid w:val="00E66941"/>
    <w:rsid w:val="00E7385D"/>
    <w:rsid w:val="00E86579"/>
    <w:rsid w:val="00E90A19"/>
    <w:rsid w:val="00E974F8"/>
    <w:rsid w:val="00EA79DA"/>
    <w:rsid w:val="00EC636E"/>
    <w:rsid w:val="00EC7E55"/>
    <w:rsid w:val="00ED6F93"/>
    <w:rsid w:val="00EE7CB8"/>
    <w:rsid w:val="00EF16FB"/>
    <w:rsid w:val="00F02216"/>
    <w:rsid w:val="00F0291C"/>
    <w:rsid w:val="00F101DD"/>
    <w:rsid w:val="00F14193"/>
    <w:rsid w:val="00F14D59"/>
    <w:rsid w:val="00F20B3B"/>
    <w:rsid w:val="00F20CCE"/>
    <w:rsid w:val="00F21B6B"/>
    <w:rsid w:val="00F3614E"/>
    <w:rsid w:val="00F506E1"/>
    <w:rsid w:val="00F56870"/>
    <w:rsid w:val="00F576E0"/>
    <w:rsid w:val="00F6440C"/>
    <w:rsid w:val="00F901CF"/>
    <w:rsid w:val="00F906EF"/>
    <w:rsid w:val="00FB33FD"/>
    <w:rsid w:val="00FB645E"/>
    <w:rsid w:val="00FC35ED"/>
    <w:rsid w:val="00FD6CD9"/>
    <w:rsid w:val="00FE20D9"/>
    <w:rsid w:val="00FE690C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D24FC7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A477E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740C28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C0B1"/>
  <w15:docId w15:val="{C839252E-BE3C-4DEE-941E-535545E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endnote text" w:qFormat="1"/>
    <w:lsdException w:name="macro" w:qFormat="1"/>
    <w:lsdException w:name="List" w:qFormat="1"/>
    <w:lsdException w:name="List 2" w:qFormat="1"/>
    <w:lsdException w:name="List 3" w:qFormat="1"/>
    <w:lsdException w:name="List 5" w:qFormat="1"/>
    <w:lsdException w:name="Title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qFormat="1"/>
    <w:lsdException w:name="Light List Accent 2" w:qFormat="1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qFormat="1"/>
    <w:lsdException w:name="Light List Accent 3" w:qFormat="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qFormat="1"/>
    <w:lsdException w:name="Light List Accent 4" w:qFormat="1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qFormat="1"/>
    <w:lsdException w:name="Light List Accent 5" w:qFormat="1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qFormat="1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cs="Simplified Arabic"/>
    </w:rPr>
  </w:style>
  <w:style w:type="paragraph" w:styleId="Heading2">
    <w:name w:val="heading 2"/>
    <w:basedOn w:val="Normal"/>
    <w:next w:val="BodyText"/>
    <w:link w:val="Heading2Char"/>
    <w:qFormat/>
    <w:pPr>
      <w:outlineLvl w:val="1"/>
    </w:pPr>
    <w:rPr>
      <w:rFonts w:cs="Simplified Arabic"/>
    </w:rPr>
  </w:style>
  <w:style w:type="paragraph" w:styleId="Heading3">
    <w:name w:val="heading 3"/>
    <w:basedOn w:val="Heading2"/>
    <w:next w:val="BodyText"/>
    <w:link w:val="Heading3Char"/>
    <w:qFormat/>
    <w:pPr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outlineLvl w:val="3"/>
    </w:pPr>
    <w:rPr>
      <w:rFonts w:cs="Simplified Arabic"/>
    </w:rPr>
  </w:style>
  <w:style w:type="paragraph" w:styleId="Heading5">
    <w:name w:val="heading 5"/>
    <w:basedOn w:val="Normal"/>
    <w:next w:val="BodyText"/>
    <w:link w:val="Heading5Char"/>
    <w:qFormat/>
    <w:pPr>
      <w:outlineLvl w:val="4"/>
    </w:pPr>
    <w:rPr>
      <w:rFonts w:cs="Simplified Arabic"/>
    </w:rPr>
  </w:style>
  <w:style w:type="paragraph" w:styleId="Heading6">
    <w:name w:val="heading 6"/>
    <w:basedOn w:val="Normal"/>
    <w:next w:val="BodyText"/>
    <w:link w:val="Heading6Char"/>
    <w:qFormat/>
    <w:pPr>
      <w:outlineLvl w:val="5"/>
    </w:pPr>
    <w:rPr>
      <w:rFonts w:cs="Simplified Arabic"/>
    </w:rPr>
  </w:style>
  <w:style w:type="paragraph" w:styleId="Heading7">
    <w:name w:val="heading 7"/>
    <w:basedOn w:val="Normal"/>
    <w:next w:val="BodyText"/>
    <w:link w:val="Heading7Char"/>
    <w:qFormat/>
    <w:pPr>
      <w:outlineLvl w:val="6"/>
    </w:pPr>
    <w:rPr>
      <w:rFonts w:cs="Simplified Arabic"/>
    </w:rPr>
  </w:style>
  <w:style w:type="paragraph" w:styleId="Heading8">
    <w:name w:val="heading 8"/>
    <w:basedOn w:val="Normal"/>
    <w:next w:val="BodyText"/>
    <w:link w:val="Heading8Char"/>
    <w:qFormat/>
    <w:pPr>
      <w:outlineLvl w:val="7"/>
    </w:pPr>
    <w:rPr>
      <w:rFonts w:cs="Simplified Arabic"/>
    </w:rPr>
  </w:style>
  <w:style w:type="paragraph" w:styleId="Heading9">
    <w:name w:val="heading 9"/>
    <w:basedOn w:val="Normal"/>
    <w:next w:val="BodyText"/>
    <w:link w:val="Heading9Char"/>
    <w:qFormat/>
    <w:pPr>
      <w:outlineLvl w:val="8"/>
    </w:pPr>
    <w:rPr>
      <w:rFonts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paragraph" w:styleId="BodyText">
    <w:name w:val="Body Text"/>
    <w:basedOn w:val="Normal"/>
    <w:link w:val="BodyTextChar"/>
    <w:qFormat/>
    <w:rPr>
      <w:rFonts w:cs="Simplified Arabic"/>
      <w:lang w:eastAsia="en-GB"/>
    </w:rPr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rPr>
      <w:rFonts w:cs="Simplified Arabic"/>
    </w:rPr>
  </w:style>
  <w:style w:type="paragraph" w:styleId="Index8">
    <w:name w:val="index 8"/>
    <w:basedOn w:val="Normal"/>
    <w:next w:val="Normal"/>
    <w:qFormat/>
    <w:pPr>
      <w:ind w:left="1920" w:hanging="240"/>
    </w:pPr>
  </w:style>
  <w:style w:type="paragraph" w:styleId="E-mailSignature">
    <w:name w:val="E-mail Signature"/>
    <w:basedOn w:val="Normal"/>
    <w:link w:val="E-mailSignatureChar"/>
    <w:qFormat/>
    <w:rPr>
      <w:rFonts w:cs="Simplified Arabic"/>
    </w:rPr>
  </w:style>
  <w:style w:type="paragraph" w:styleId="NormalIndent">
    <w:name w:val="Normal Indent"/>
    <w:basedOn w:val="Normal"/>
    <w:qFormat/>
    <w:pPr>
      <w:ind w:left="7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Index5">
    <w:name w:val="index 5"/>
    <w:basedOn w:val="Normal"/>
    <w:next w:val="Normal"/>
    <w:qFormat/>
    <w:pPr>
      <w:ind w:left="1200" w:hanging="24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DocumentMap">
    <w:name w:val="Document Map"/>
    <w:basedOn w:val="Normal"/>
    <w:link w:val="DocumentMapChar"/>
    <w:qFormat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pPr>
      <w:spacing w:before="120"/>
    </w:pPr>
    <w:rPr>
      <w:rFonts w:cs="Simplified Arabic"/>
      <w:b/>
      <w:bCs/>
    </w:rPr>
  </w:style>
  <w:style w:type="paragraph" w:styleId="CommentText">
    <w:name w:val="annotation text"/>
    <w:basedOn w:val="Normal"/>
    <w:link w:val="CommentTextChar"/>
    <w:qFormat/>
    <w:pPr>
      <w:spacing w:after="120"/>
    </w:pPr>
    <w:rPr>
      <w:rFonts w:cs="Simplified Arabic"/>
      <w:sz w:val="20"/>
      <w:szCs w:val="20"/>
    </w:rPr>
  </w:style>
  <w:style w:type="paragraph" w:styleId="Index6">
    <w:name w:val="index 6"/>
    <w:basedOn w:val="Normal"/>
    <w:next w:val="Normal"/>
    <w:qFormat/>
    <w:pPr>
      <w:ind w:left="1440" w:hanging="240"/>
    </w:pPr>
  </w:style>
  <w:style w:type="paragraph" w:styleId="Salutation">
    <w:name w:val="Salutation"/>
    <w:basedOn w:val="Normal"/>
    <w:next w:val="Normal"/>
    <w:link w:val="SalutationChar"/>
    <w:qFormat/>
    <w:rPr>
      <w:rFonts w:cs="Simplified Arabic"/>
    </w:rPr>
  </w:style>
  <w:style w:type="paragraph" w:styleId="BodyText3">
    <w:name w:val="Body Text 3"/>
    <w:basedOn w:val="Normal"/>
    <w:link w:val="BodyText3Char"/>
    <w:qFormat/>
    <w:pPr>
      <w:ind w:left="2160"/>
    </w:pPr>
    <w:rPr>
      <w:rFonts w:cs="Simplified Arabic"/>
      <w:lang w:eastAsia="en-GB"/>
    </w:rPr>
  </w:style>
  <w:style w:type="paragraph" w:styleId="Closing">
    <w:name w:val="Closing"/>
    <w:basedOn w:val="Normal"/>
    <w:link w:val="ClosingChar"/>
    <w:pPr>
      <w:ind w:left="4320"/>
    </w:pPr>
    <w:rPr>
      <w:rFonts w:cs="Simplified Arabic"/>
    </w:rPr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cs="Simplified Arabic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ListContinue">
    <w:name w:val="List Continue"/>
    <w:basedOn w:val="Normal"/>
    <w:qFormat/>
    <w:pPr>
      <w:spacing w:after="120"/>
      <w:ind w:left="360"/>
      <w:contextualSpacing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rFonts w:cs="Simplified Arabic"/>
      <w:i/>
      <w:iCs/>
    </w:rPr>
  </w:style>
  <w:style w:type="paragraph" w:styleId="Index4">
    <w:name w:val="index 4"/>
    <w:basedOn w:val="Normal"/>
    <w:next w:val="Normal"/>
    <w:qFormat/>
    <w:pPr>
      <w:ind w:left="960" w:hanging="240"/>
    </w:pPr>
  </w:style>
  <w:style w:type="paragraph" w:styleId="TOC5">
    <w:name w:val="toc 5"/>
    <w:basedOn w:val="Normal"/>
    <w:next w:val="Normal"/>
    <w:pPr>
      <w:ind w:left="960"/>
    </w:pPr>
  </w:style>
  <w:style w:type="paragraph" w:styleId="TOC3">
    <w:name w:val="toc 3"/>
    <w:basedOn w:val="Normal"/>
    <w:next w:val="Normal"/>
    <w:qFormat/>
    <w:pPr>
      <w:ind w:left="480"/>
    </w:pPr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paragraph" w:styleId="TOC8">
    <w:name w:val="toc 8"/>
    <w:basedOn w:val="Normal"/>
    <w:next w:val="Normal"/>
    <w:qFormat/>
    <w:pPr>
      <w:ind w:left="1680"/>
    </w:pPr>
  </w:style>
  <w:style w:type="paragraph" w:styleId="Index3">
    <w:name w:val="index 3"/>
    <w:basedOn w:val="Normal"/>
    <w:next w:val="Normal"/>
    <w:qFormat/>
    <w:pPr>
      <w:ind w:left="720" w:hanging="240"/>
    </w:pPr>
  </w:style>
  <w:style w:type="paragraph" w:styleId="Date">
    <w:name w:val="Date"/>
    <w:basedOn w:val="Normal"/>
    <w:next w:val="Normal"/>
    <w:link w:val="DateChar"/>
    <w:qFormat/>
    <w:rPr>
      <w:rFonts w:cs="Simplified Arabic"/>
    </w:rPr>
  </w:style>
  <w:style w:type="paragraph" w:styleId="BodyTextIndent2">
    <w:name w:val="Body Text Indent 2"/>
    <w:basedOn w:val="Normal"/>
    <w:link w:val="BodyTextIndent2Char"/>
    <w:qFormat/>
    <w:pPr>
      <w:spacing w:after="120"/>
      <w:ind w:left="360"/>
    </w:pPr>
    <w:rPr>
      <w:rFonts w:cs="Simplified Arabic"/>
    </w:rPr>
  </w:style>
  <w:style w:type="paragraph" w:styleId="EndnoteText">
    <w:name w:val="endnote text"/>
    <w:basedOn w:val="Normal"/>
    <w:next w:val="Normal"/>
    <w:link w:val="EndnoteTextChar"/>
    <w:qFormat/>
    <w:pPr>
      <w:spacing w:after="120"/>
      <w:ind w:left="340" w:hanging="340"/>
    </w:pPr>
    <w:rPr>
      <w:rFonts w:cs="Simplified Arabic"/>
      <w:sz w:val="20"/>
      <w:szCs w:val="20"/>
    </w:rPr>
  </w:style>
  <w:style w:type="paragraph" w:styleId="ListContinue5">
    <w:name w:val="List Continue 5"/>
    <w:basedOn w:val="Normal"/>
    <w:qFormat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link w:val="FooterChar"/>
    <w:qFormat/>
    <w:rPr>
      <w:sz w:val="16"/>
      <w:szCs w:val="16"/>
      <w:lang w:val="en-GB" w:bidi="he-IL"/>
    </w:rPr>
  </w:style>
  <w:style w:type="paragraph" w:styleId="EnvelopeReturn">
    <w:name w:val="envelope return"/>
    <w:basedOn w:val="Normal"/>
    <w:qFormat/>
    <w:rPr>
      <w:rFonts w:cs="Simplified Arabic"/>
      <w:sz w:val="20"/>
      <w:szCs w:val="20"/>
    </w:rPr>
  </w:style>
  <w:style w:type="paragraph" w:styleId="Header">
    <w:name w:val="header"/>
    <w:link w:val="HeaderChar"/>
    <w:uiPriority w:val="99"/>
    <w:qFormat/>
    <w:pPr>
      <w:jc w:val="both"/>
    </w:pPr>
    <w:rPr>
      <w:sz w:val="24"/>
      <w:szCs w:val="24"/>
      <w:lang w:val="en-GB" w:bidi="he-IL"/>
    </w:rPr>
  </w:style>
  <w:style w:type="paragraph" w:styleId="Signature">
    <w:name w:val="Signature"/>
    <w:basedOn w:val="Normal"/>
    <w:link w:val="SignatureChar"/>
    <w:qFormat/>
    <w:pPr>
      <w:ind w:left="4320"/>
    </w:pPr>
    <w:rPr>
      <w:rFonts w:cs="Simplified Arabic"/>
    </w:rPr>
  </w:style>
  <w:style w:type="paragraph" w:styleId="TOC1">
    <w:name w:val="toc 1"/>
    <w:basedOn w:val="Normal"/>
    <w:next w:val="BodyText"/>
    <w:qFormat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ListContinue4">
    <w:name w:val="List Continue 4"/>
    <w:basedOn w:val="Normal"/>
    <w:qFormat/>
    <w:pPr>
      <w:spacing w:after="120"/>
      <w:ind w:left="1440"/>
      <w:contextualSpacing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IndexHeading">
    <w:name w:val="index heading"/>
    <w:basedOn w:val="Normal"/>
    <w:next w:val="Normal"/>
    <w:qFormat/>
    <w:rPr>
      <w:b/>
      <w:bCs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rFonts w:cs="Simplified Arabic"/>
    </w:r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next w:val="Normal"/>
    <w:link w:val="FootnoteTextChar"/>
    <w:qFormat/>
    <w:pPr>
      <w:spacing w:after="120"/>
      <w:ind w:left="340" w:hanging="340"/>
    </w:pPr>
    <w:rPr>
      <w:rFonts w:cs="Simplified Arabic"/>
      <w:sz w:val="20"/>
      <w:szCs w:val="20"/>
    </w:rPr>
  </w:style>
  <w:style w:type="paragraph" w:styleId="TOC6">
    <w:name w:val="toc 6"/>
    <w:basedOn w:val="Normal"/>
    <w:next w:val="Normal"/>
    <w:qFormat/>
    <w:pPr>
      <w:ind w:left="1200"/>
    </w:pPr>
  </w:style>
  <w:style w:type="paragraph" w:styleId="List5">
    <w:name w:val="List 5"/>
    <w:basedOn w:val="Normal"/>
    <w:qFormat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rFonts w:cs="Simplified Arabic"/>
      <w:sz w:val="16"/>
      <w:szCs w:val="16"/>
    </w:rPr>
  </w:style>
  <w:style w:type="paragraph" w:styleId="Index7">
    <w:name w:val="index 7"/>
    <w:basedOn w:val="Normal"/>
    <w:next w:val="Normal"/>
    <w:qFormat/>
    <w:pPr>
      <w:ind w:left="1680" w:hanging="240"/>
    </w:pPr>
  </w:style>
  <w:style w:type="paragraph" w:styleId="Index9">
    <w:name w:val="index 9"/>
    <w:basedOn w:val="Normal"/>
    <w:next w:val="Normal"/>
    <w:qFormat/>
    <w:pPr>
      <w:ind w:left="2160" w:hanging="240"/>
    </w:pPr>
  </w:style>
  <w:style w:type="paragraph" w:styleId="TableofFigures">
    <w:name w:val="table of figures"/>
    <w:basedOn w:val="Normal"/>
    <w:next w:val="Normal"/>
    <w:qFormat/>
  </w:style>
  <w:style w:type="paragraph" w:styleId="TOC2">
    <w:name w:val="toc 2"/>
    <w:basedOn w:val="Normal"/>
    <w:next w:val="BodyText"/>
    <w:qFormat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Normal"/>
    <w:next w:val="Normal"/>
    <w:qFormat/>
    <w:pPr>
      <w:ind w:left="1920"/>
    </w:pPr>
  </w:style>
  <w:style w:type="paragraph" w:styleId="BodyText2">
    <w:name w:val="Body Text 2"/>
    <w:basedOn w:val="Normal"/>
    <w:link w:val="BodyText2Char"/>
    <w:qFormat/>
    <w:pPr>
      <w:ind w:left="1440"/>
    </w:pPr>
    <w:rPr>
      <w:rFonts w:cs="Simplified Arabic"/>
      <w:lang w:eastAsia="en-GB"/>
    </w:r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Continue2">
    <w:name w:val="List Continue 2"/>
    <w:basedOn w:val="Normal"/>
    <w:qFormat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paragraph" w:styleId="HTMLPreformatted">
    <w:name w:val="HTML Preformatted"/>
    <w:basedOn w:val="Normal"/>
    <w:link w:val="HTMLPreformattedChar"/>
    <w:qFormat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ListContinue3">
    <w:name w:val="List Continue 3"/>
    <w:basedOn w:val="Normal"/>
    <w:qFormat/>
    <w:pPr>
      <w:spacing w:after="120"/>
      <w:ind w:left="1080"/>
      <w:contextualSpacing/>
    </w:pPr>
  </w:style>
  <w:style w:type="paragraph" w:styleId="Index1">
    <w:name w:val="index 1"/>
    <w:basedOn w:val="Normal"/>
    <w:next w:val="Normal"/>
    <w:qFormat/>
    <w:pPr>
      <w:ind w:left="240" w:hanging="240"/>
    </w:pPr>
  </w:style>
  <w:style w:type="paragraph" w:styleId="Index2">
    <w:name w:val="index 2"/>
    <w:basedOn w:val="Normal"/>
    <w:next w:val="Normal"/>
    <w:qFormat/>
    <w:pPr>
      <w:ind w:left="480" w:hanging="240"/>
    </w:pPr>
  </w:style>
  <w:style w:type="paragraph" w:styleId="Title">
    <w:name w:val="Title"/>
    <w:basedOn w:val="Normal"/>
    <w:next w:val="BodyText"/>
    <w:link w:val="TitleChar"/>
    <w:qFormat/>
    <w:pPr>
      <w:jc w:val="center"/>
    </w:pPr>
    <w:rPr>
      <w:rFonts w:cs="Simplified Arabic"/>
      <w:b/>
      <w:bCs/>
    </w:rPr>
  </w:style>
  <w:style w:type="paragraph" w:styleId="CommentSubject">
    <w:name w:val="annotation subject"/>
    <w:basedOn w:val="CommentText"/>
    <w:next w:val="CommentText"/>
    <w:link w:val="CommentSubjectChar"/>
    <w:qFormat/>
    <w:pPr>
      <w:spacing w:after="240"/>
    </w:pPr>
    <w:rPr>
      <w:b/>
      <w:bCs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paragraph" w:styleId="BodyTextFirstIndent2">
    <w:name w:val="Body Text First Indent 2"/>
    <w:basedOn w:val="BodyTextFirstIndent"/>
    <w:link w:val="BodyTextFirstIndent2Char"/>
    <w:pPr>
      <w:ind w:firstLine="1440"/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qFormat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qFormat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qFormat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qFormat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qFormat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spacing w:after="24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spacing w:after="24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spacing w:after="24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qFormat/>
    <w:pPr>
      <w:spacing w:after="24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qFormat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spacing w:after="24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spacing w:after="24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qFormat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LightShading-Accent2">
    <w:name w:val="Light Shading Accent 2"/>
    <w:basedOn w:val="TableNormal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3">
    <w:name w:val="Light Shading Accent 3"/>
    <w:basedOn w:val="TableNormal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4">
    <w:name w:val="Light Shading Accent 4"/>
    <w:basedOn w:val="TableNormal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5">
    <w:name w:val="Light Shading Accent 5"/>
    <w:basedOn w:val="TableNormal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6">
    <w:name w:val="Light Shading Accent 6"/>
    <w:basedOn w:val="TableNormal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2">
    <w:name w:val="Light List Accent 2"/>
    <w:basedOn w:val="TableNormal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Grid-Accent2">
    <w:name w:val="Light Grid Accent 2"/>
    <w:basedOn w:val="TableNormal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4">
    <w:name w:val="Light Grid Accent 4"/>
    <w:basedOn w:val="TableNormal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5">
    <w:name w:val="Light Grid Accent 5"/>
    <w:basedOn w:val="TableNormal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MediumShading1-Accent2">
    <w:name w:val="Medium Shading 1 Accent 2"/>
    <w:basedOn w:val="TableNormal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3">
    <w:name w:val="Medium Shading 2 Accent 3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4">
    <w:name w:val="Medium Shading 2 Accent 4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2">
    <w:name w:val="Medium List 1 Accent 2"/>
    <w:basedOn w:val="TableNormal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rPr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Pr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Pr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Pr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Pr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Pr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rPr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Pr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Pr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Pr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Pr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Pr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styleId="DarkList-Accent1">
    <w:name w:val="Dark List Accent 1"/>
    <w:basedOn w:val="TableNormal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DarkList-Accent2">
    <w:name w:val="Dark List Accent 2"/>
    <w:basedOn w:val="TableNormal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DarkList-Accent3">
    <w:name w:val="Dark List Accent 3"/>
    <w:basedOn w:val="TableNormal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DarkList-Accent4">
    <w:name w:val="Dark List Accent 4"/>
    <w:basedOn w:val="TableNormal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DarkList-Accent5">
    <w:name w:val="Dark List Accent 5"/>
    <w:basedOn w:val="TableNormal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DarkList-Accent6">
    <w:name w:val="Dark List Accent 6"/>
    <w:basedOn w:val="TableNormal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ColorfulShading-Accent1">
    <w:name w:val="Colorful Shading Accent 1"/>
    <w:basedOn w:val="TableNormal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styleId="PageNumber">
    <w:name w:val="page number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ascii="Times New Roman" w:eastAsia="SimSun" w:hAnsi="Times New Roman" w:cs="Simplified Arabic"/>
      <w:sz w:val="18"/>
      <w:szCs w:val="18"/>
      <w:lang w:val="en-GB" w:bidi="ar-AE"/>
    </w:rPr>
  </w:style>
  <w:style w:type="character" w:styleId="FootnoteReference">
    <w:name w:val="footnote reference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val="en-GB" w:eastAsia="zh-CN" w:bidi="ar-AE"/>
    </w:rPr>
  </w:style>
  <w:style w:type="character" w:customStyle="1" w:styleId="Heading1Char">
    <w:name w:val="Heading 1 Char"/>
    <w:link w:val="Heading1"/>
    <w:qFormat/>
    <w:rPr>
      <w:sz w:val="24"/>
      <w:szCs w:val="24"/>
      <w:lang w:bidi="ar-AE"/>
    </w:rPr>
  </w:style>
  <w:style w:type="character" w:customStyle="1" w:styleId="Heading2Char">
    <w:name w:val="Heading 2 Char"/>
    <w:link w:val="Heading2"/>
    <w:qFormat/>
    <w:rPr>
      <w:sz w:val="24"/>
      <w:szCs w:val="24"/>
      <w:lang w:bidi="ar-AE"/>
    </w:rPr>
  </w:style>
  <w:style w:type="character" w:customStyle="1" w:styleId="BodyTextChar">
    <w:name w:val="Body Text Char"/>
    <w:link w:val="BodyText"/>
    <w:qFormat/>
    <w:rPr>
      <w:sz w:val="24"/>
      <w:szCs w:val="24"/>
      <w:lang w:eastAsia="en-GB" w:bidi="ar-AE"/>
    </w:rPr>
  </w:style>
  <w:style w:type="character" w:customStyle="1" w:styleId="Heading3Char">
    <w:name w:val="Heading 3 Char"/>
    <w:link w:val="Heading3"/>
    <w:qFormat/>
    <w:rPr>
      <w:sz w:val="24"/>
      <w:szCs w:val="24"/>
      <w:lang w:bidi="ar-AE"/>
    </w:rPr>
  </w:style>
  <w:style w:type="character" w:customStyle="1" w:styleId="Heading4Char">
    <w:name w:val="Heading 4 Char"/>
    <w:link w:val="Heading4"/>
    <w:qFormat/>
    <w:rPr>
      <w:sz w:val="24"/>
      <w:szCs w:val="24"/>
      <w:lang w:bidi="ar-AE"/>
    </w:rPr>
  </w:style>
  <w:style w:type="character" w:customStyle="1" w:styleId="Heading5Char">
    <w:name w:val="Heading 5 Char"/>
    <w:link w:val="Heading5"/>
    <w:rPr>
      <w:sz w:val="24"/>
      <w:szCs w:val="24"/>
      <w:lang w:bidi="ar-AE"/>
    </w:rPr>
  </w:style>
  <w:style w:type="character" w:customStyle="1" w:styleId="Heading6Char">
    <w:name w:val="Heading 6 Char"/>
    <w:link w:val="Heading6"/>
    <w:qFormat/>
    <w:rPr>
      <w:sz w:val="24"/>
      <w:szCs w:val="24"/>
      <w:lang w:bidi="ar-AE"/>
    </w:rPr>
  </w:style>
  <w:style w:type="character" w:customStyle="1" w:styleId="Heading7Char">
    <w:name w:val="Heading 7 Char"/>
    <w:link w:val="Heading7"/>
    <w:qFormat/>
    <w:rPr>
      <w:sz w:val="24"/>
      <w:szCs w:val="24"/>
      <w:lang w:bidi="ar-AE"/>
    </w:rPr>
  </w:style>
  <w:style w:type="character" w:customStyle="1" w:styleId="Heading8Char">
    <w:name w:val="Heading 8 Char"/>
    <w:link w:val="Heading8"/>
    <w:qFormat/>
    <w:rPr>
      <w:sz w:val="24"/>
      <w:szCs w:val="24"/>
      <w:lang w:bidi="ar-AE"/>
    </w:rPr>
  </w:style>
  <w:style w:type="character" w:customStyle="1" w:styleId="Heading9Char">
    <w:name w:val="Heading 9 Char"/>
    <w:link w:val="Heading9"/>
    <w:rPr>
      <w:sz w:val="24"/>
      <w:szCs w:val="24"/>
      <w:lang w:bidi="ar-AE"/>
    </w:rPr>
  </w:style>
  <w:style w:type="character" w:customStyle="1" w:styleId="NoteHeadingChar">
    <w:name w:val="Note Heading Char"/>
    <w:link w:val="NoteHeading"/>
    <w:qFormat/>
    <w:rPr>
      <w:sz w:val="24"/>
      <w:szCs w:val="24"/>
      <w:lang w:bidi="ar-AE"/>
    </w:rPr>
  </w:style>
  <w:style w:type="character" w:customStyle="1" w:styleId="E-mailSignatureChar">
    <w:name w:val="E-mail Signature Char"/>
    <w:link w:val="E-mailSignature"/>
    <w:qFormat/>
    <w:rPr>
      <w:sz w:val="24"/>
      <w:szCs w:val="24"/>
      <w:lang w:bidi="ar-AE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  <w:lang w:bidi="ar-AE"/>
    </w:rPr>
  </w:style>
  <w:style w:type="character" w:customStyle="1" w:styleId="CommentTextChar">
    <w:name w:val="Comment Text Char"/>
    <w:link w:val="CommentText"/>
    <w:rPr>
      <w:lang w:bidi="ar-AE"/>
    </w:rPr>
  </w:style>
  <w:style w:type="character" w:customStyle="1" w:styleId="SalutationChar">
    <w:name w:val="Salutation Char"/>
    <w:link w:val="Salutation"/>
    <w:rPr>
      <w:sz w:val="24"/>
      <w:szCs w:val="24"/>
      <w:lang w:bidi="ar-AE"/>
    </w:rPr>
  </w:style>
  <w:style w:type="character" w:customStyle="1" w:styleId="BodyText3Char">
    <w:name w:val="Body Text 3 Char"/>
    <w:link w:val="BodyText3"/>
    <w:qFormat/>
    <w:rPr>
      <w:sz w:val="24"/>
      <w:szCs w:val="24"/>
      <w:lang w:eastAsia="en-GB" w:bidi="ar-AE"/>
    </w:rPr>
  </w:style>
  <w:style w:type="character" w:customStyle="1" w:styleId="ClosingChar">
    <w:name w:val="Closing Char"/>
    <w:link w:val="Closing"/>
    <w:qFormat/>
    <w:rPr>
      <w:sz w:val="24"/>
      <w:szCs w:val="24"/>
      <w:lang w:bidi="ar-AE"/>
    </w:rPr>
  </w:style>
  <w:style w:type="character" w:customStyle="1" w:styleId="BodyTextIndentChar">
    <w:name w:val="Body Text Indent Char"/>
    <w:link w:val="BodyTextIndent"/>
    <w:rPr>
      <w:sz w:val="24"/>
      <w:szCs w:val="24"/>
      <w:lang w:bidi="ar-AE"/>
    </w:rPr>
  </w:style>
  <w:style w:type="character" w:customStyle="1" w:styleId="HTMLAddressChar">
    <w:name w:val="HTML Address Char"/>
    <w:link w:val="HTMLAddress"/>
    <w:qFormat/>
    <w:rPr>
      <w:i/>
      <w:iCs/>
      <w:sz w:val="24"/>
      <w:szCs w:val="24"/>
      <w:lang w:bidi="ar-AE"/>
    </w:rPr>
  </w:style>
  <w:style w:type="character" w:customStyle="1" w:styleId="PlainTextChar">
    <w:name w:val="Plain Text Char"/>
    <w:link w:val="PlainText"/>
    <w:qFormat/>
    <w:rPr>
      <w:rFonts w:ascii="Courier New" w:hAnsi="Courier New" w:cs="Courier New"/>
      <w:lang w:bidi="ar-AE"/>
    </w:rPr>
  </w:style>
  <w:style w:type="character" w:customStyle="1" w:styleId="DateChar">
    <w:name w:val="Date Char"/>
    <w:link w:val="Date"/>
    <w:qFormat/>
    <w:rPr>
      <w:sz w:val="24"/>
      <w:szCs w:val="24"/>
      <w:lang w:bidi="ar-AE"/>
    </w:rPr>
  </w:style>
  <w:style w:type="character" w:customStyle="1" w:styleId="BodyTextIndent2Char">
    <w:name w:val="Body Text Indent 2 Char"/>
    <w:link w:val="BodyTextIndent2"/>
    <w:qFormat/>
    <w:rPr>
      <w:sz w:val="24"/>
      <w:szCs w:val="24"/>
      <w:lang w:bidi="ar-AE"/>
    </w:rPr>
  </w:style>
  <w:style w:type="character" w:customStyle="1" w:styleId="EndnoteTextChar">
    <w:name w:val="Endnote Text Char"/>
    <w:link w:val="EndnoteText"/>
    <w:qFormat/>
    <w:rPr>
      <w:lang w:bidi="ar-AE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bidi="ar-AE"/>
    </w:rPr>
  </w:style>
  <w:style w:type="character" w:customStyle="1" w:styleId="FooterChar">
    <w:name w:val="Footer Char"/>
    <w:link w:val="Footer"/>
    <w:qFormat/>
    <w:rPr>
      <w:sz w:val="16"/>
      <w:szCs w:val="16"/>
      <w:lang w:val="en-GB" w:eastAsia="zh-CN" w:bidi="he-IL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val="en-GB" w:eastAsia="zh-CN" w:bidi="he-IL"/>
    </w:rPr>
  </w:style>
  <w:style w:type="character" w:customStyle="1" w:styleId="SignatureChar">
    <w:name w:val="Signature Char"/>
    <w:link w:val="Signature"/>
    <w:qFormat/>
    <w:rPr>
      <w:sz w:val="24"/>
      <w:szCs w:val="24"/>
      <w:lang w:bidi="ar-AE"/>
    </w:rPr>
  </w:style>
  <w:style w:type="character" w:customStyle="1" w:styleId="SubtitleChar">
    <w:name w:val="Subtitle Char"/>
    <w:link w:val="Subtitle"/>
    <w:qFormat/>
    <w:rPr>
      <w:sz w:val="24"/>
      <w:szCs w:val="24"/>
      <w:lang w:bidi="ar-AE"/>
    </w:rPr>
  </w:style>
  <w:style w:type="character" w:customStyle="1" w:styleId="FootnoteTextChar">
    <w:name w:val="Footnote Text Char"/>
    <w:link w:val="FootnoteText"/>
    <w:qFormat/>
    <w:rPr>
      <w:lang w:bidi="ar-AE"/>
    </w:rPr>
  </w:style>
  <w:style w:type="character" w:customStyle="1" w:styleId="BodyTextIndent3Char">
    <w:name w:val="Body Text Indent 3 Char"/>
    <w:link w:val="BodyTextIndent3"/>
    <w:rPr>
      <w:sz w:val="16"/>
      <w:szCs w:val="16"/>
      <w:lang w:bidi="ar-AE"/>
    </w:rPr>
  </w:style>
  <w:style w:type="character" w:customStyle="1" w:styleId="BodyText2Char">
    <w:name w:val="Body Text 2 Char"/>
    <w:link w:val="BodyText2"/>
    <w:qFormat/>
    <w:rPr>
      <w:sz w:val="24"/>
      <w:szCs w:val="24"/>
      <w:lang w:eastAsia="en-GB" w:bidi="ar-AE"/>
    </w:rPr>
  </w:style>
  <w:style w:type="character" w:customStyle="1" w:styleId="MessageHeaderChar">
    <w:name w:val="Message Header Char"/>
    <w:link w:val="MessageHeader"/>
    <w:qFormat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character" w:customStyle="1" w:styleId="HTMLPreformattedChar">
    <w:name w:val="HTML Preformatted Char"/>
    <w:link w:val="HTMLPreformatted"/>
    <w:qFormat/>
    <w:rPr>
      <w:rFonts w:ascii="Courier New" w:hAnsi="Courier New" w:cs="Courier New"/>
      <w:lang w:bidi="ar-AE"/>
    </w:rPr>
  </w:style>
  <w:style w:type="character" w:customStyle="1" w:styleId="TitleChar">
    <w:name w:val="Title Char"/>
    <w:link w:val="Title"/>
    <w:rPr>
      <w:b/>
      <w:bCs/>
      <w:sz w:val="24"/>
      <w:szCs w:val="24"/>
      <w:lang w:bidi="ar-AE"/>
    </w:rPr>
  </w:style>
  <w:style w:type="character" w:customStyle="1" w:styleId="CommentSubjectChar">
    <w:name w:val="Comment Subject Char"/>
    <w:link w:val="CommentSubject"/>
    <w:rPr>
      <w:b/>
      <w:bCs/>
      <w:lang w:bidi="ar-AE"/>
    </w:rPr>
  </w:style>
  <w:style w:type="character" w:customStyle="1" w:styleId="BodyTextFirstIndentChar">
    <w:name w:val="Body Text First Indent Char"/>
    <w:link w:val="BodyTextFirstIndent"/>
    <w:rPr>
      <w:sz w:val="24"/>
      <w:szCs w:val="24"/>
      <w:lang w:eastAsia="en-GB" w:bidi="ar-AE"/>
    </w:rPr>
  </w:style>
  <w:style w:type="character" w:customStyle="1" w:styleId="BodyTextFirstIndent2Char">
    <w:name w:val="Body Text First Indent 2 Char"/>
    <w:link w:val="BodyTextFirstIndent2"/>
    <w:qFormat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pPr>
      <w:ind w:left="720"/>
    </w:pPr>
    <w:rPr>
      <w:lang w:eastAsia="en-GB"/>
    </w:rPr>
  </w:style>
  <w:style w:type="paragraph" w:customStyle="1" w:styleId="BodyText4">
    <w:name w:val="Body Text 4"/>
    <w:basedOn w:val="Normal"/>
    <w:pPr>
      <w:ind w:left="2880"/>
    </w:pPr>
    <w:rPr>
      <w:lang w:eastAsia="en-GB"/>
    </w:rPr>
  </w:style>
  <w:style w:type="paragraph" w:customStyle="1" w:styleId="BodyText5">
    <w:name w:val="Body Text 5"/>
    <w:basedOn w:val="Normal"/>
    <w:pPr>
      <w:ind w:left="3600"/>
    </w:pPr>
    <w:rPr>
      <w:lang w:eastAsia="en-GB"/>
    </w:rPr>
  </w:style>
  <w:style w:type="paragraph" w:customStyle="1" w:styleId="BodyText6">
    <w:name w:val="Body Text 6"/>
    <w:basedOn w:val="Normal"/>
    <w:pPr>
      <w:ind w:left="4320"/>
    </w:pPr>
    <w:rPr>
      <w:lang w:eastAsia="en-GB"/>
    </w:rPr>
  </w:style>
  <w:style w:type="paragraph" w:customStyle="1" w:styleId="BodyText7">
    <w:name w:val="Body Text 7"/>
    <w:basedOn w:val="Normal"/>
    <w:pPr>
      <w:ind w:left="5041"/>
    </w:pPr>
    <w:rPr>
      <w:lang w:eastAsia="en-GB"/>
    </w:rPr>
  </w:style>
  <w:style w:type="paragraph" w:customStyle="1" w:styleId="FooterRight">
    <w:name w:val="Footer Right"/>
    <w:basedOn w:val="Footer"/>
    <w:pPr>
      <w:jc w:val="right"/>
    </w:pPr>
  </w:style>
  <w:style w:type="paragraph" w:customStyle="1" w:styleId="Footnote">
    <w:name w:val="Footnote"/>
    <w:basedOn w:val="FootnoteText"/>
    <w:pPr>
      <w:tabs>
        <w:tab w:val="left" w:pos="3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pPr>
      <w:spacing w:after="0"/>
    </w:pPr>
  </w:style>
  <w:style w:type="paragraph" w:customStyle="1" w:styleId="NormalBold">
    <w:name w:val="NormalBold"/>
    <w:basedOn w:val="Normal"/>
    <w:next w:val="Normal"/>
    <w:rPr>
      <w:b/>
      <w:bCs/>
    </w:rPr>
  </w:style>
  <w:style w:type="paragraph" w:customStyle="1" w:styleId="NormalBoldNS">
    <w:name w:val="NormalBoldNS"/>
    <w:basedOn w:val="Normal"/>
    <w:next w:val="Normal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Normal"/>
    <w:pPr>
      <w:spacing w:after="120"/>
      <w:ind w:left="340"/>
    </w:pPr>
    <w:rPr>
      <w:sz w:val="20"/>
      <w:szCs w:val="20"/>
    </w:rPr>
  </w:style>
  <w:style w:type="paragraph" w:customStyle="1" w:styleId="TOCHeading1">
    <w:name w:val="TOC Heading1"/>
    <w:basedOn w:val="Normal"/>
    <w:next w:val="Normal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Subtitle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Normal"/>
    <w:next w:val="Normal"/>
    <w:pPr>
      <w:jc w:val="left"/>
    </w:pPr>
  </w:style>
  <w:style w:type="paragraph" w:customStyle="1" w:styleId="Bibliography1">
    <w:name w:val="Bibliography1"/>
    <w:basedOn w:val="Normal"/>
    <w:next w:val="Normal"/>
  </w:style>
  <w:style w:type="table" w:customStyle="1" w:styleId="ColorfulGrid1">
    <w:name w:val="Colorful Grid1"/>
    <w:basedOn w:val="TableNormal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rPr>
      <w:color w:val="000000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Pr>
      <w:color w:val="FFFFFF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TableNormal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LightList1">
    <w:name w:val="Light List1"/>
    <w:basedOn w:val="TableNormal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TableNormal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TableNormal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rPr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TableNormal"/>
    <w:rPr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TableNormal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TableNormal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qFormat/>
    <w:rPr>
      <w:rFonts w:cs="Simplified Arabic"/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Normal"/>
    <w:next w:val="BodyText3"/>
    <w:link w:val="StandardL9Char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Normal"/>
    <w:link w:val="BulletL9Char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pPr>
      <w:numPr>
        <w:numId w:val="2"/>
      </w:numPr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pPr>
      <w:keepNext/>
      <w:numPr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FangSong_GB2312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CMS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Xiaodi</dc:creator>
  <cp:lastModifiedBy>Zhu, Yedi</cp:lastModifiedBy>
  <cp:revision>3</cp:revision>
  <cp:lastPrinted>2022-10-19T09:50:00Z</cp:lastPrinted>
  <dcterms:created xsi:type="dcterms:W3CDTF">2023-05-11T03:03:00Z</dcterms:created>
  <dcterms:modified xsi:type="dcterms:W3CDTF">2023-05-12T01:58:00Z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DA5DEABBB0084E97AFE7111637B6842A_13</vt:lpwstr>
  </property>
</Properties>
</file>