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8832" w14:textId="50175C55" w:rsidR="003D611A" w:rsidRPr="00457AF3" w:rsidRDefault="00457AF3" w:rsidP="006E4169">
      <w:pPr>
        <w:snapToGrid w:val="0"/>
        <w:spacing w:after="0"/>
        <w:jc w:val="center"/>
        <w:rPr>
          <w:rFonts w:ascii="宋体" w:hAnsi="宋体" w:cs="黑体"/>
          <w:bCs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547"/>
      </w:tblGrid>
      <w:tr w:rsidR="003D611A" w:rsidRPr="007C26B0" w14:paraId="28BE2FF3" w14:textId="77777777" w:rsidTr="003D611A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7779DD5F" w14:textId="77777777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/>
              </w:rPr>
            </w:pPr>
            <w:proofErr w:type="spellStart"/>
            <w:r w:rsidRPr="007C26B0">
              <w:rPr>
                <w:rFonts w:ascii="宋体" w:hAnsi="宋体" w:cs="Times New Roman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8154" w:type="dxa"/>
            <w:gridSpan w:val="2"/>
            <w:vAlign w:val="center"/>
          </w:tcPr>
          <w:p w14:paraId="192E8558" w14:textId="07D48DE2" w:rsidR="003D611A" w:rsidRPr="007C26B0" w:rsidRDefault="007C26B0" w:rsidP="006E4169">
            <w:pPr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/>
              </w:rPr>
            </w:pPr>
            <w:r w:rsidRPr="007C26B0">
              <w:rPr>
                <w:rFonts w:ascii="宋体" w:hAnsi="宋体" w:cstheme="majorBidi" w:hint="eastAsia"/>
                <w:bCs/>
                <w:color w:val="000000"/>
                <w:lang w:val="en-US"/>
              </w:rPr>
              <w:t>德国邮政敦豪集团与沙特阿美发展公司新设合营企业案</w:t>
            </w:r>
          </w:p>
        </w:tc>
      </w:tr>
      <w:tr w:rsidR="007C26B0" w:rsidRPr="007C26B0" w14:paraId="06F085AA" w14:textId="77777777" w:rsidTr="00F74F7A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234252D9" w14:textId="2A614864" w:rsidR="007C26B0" w:rsidRPr="007C26B0" w:rsidRDefault="007C26B0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="Times New Roman"/>
                <w:bCs/>
                <w:color w:val="000000"/>
                <w:lang w:eastAsia="zh-CN"/>
              </w:rPr>
              <w:t>交易概况</w:t>
            </w:r>
          </w:p>
        </w:tc>
        <w:tc>
          <w:tcPr>
            <w:tcW w:w="8154" w:type="dxa"/>
            <w:gridSpan w:val="2"/>
          </w:tcPr>
          <w:p w14:paraId="427112F1" w14:textId="761DC745" w:rsidR="007C26B0" w:rsidRPr="007C26B0" w:rsidRDefault="007C26B0" w:rsidP="006E4169">
            <w:pPr>
              <w:widowControl w:val="0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</w:rPr>
            </w:pP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德国邮政敦豪集团（Deutsche Post AG，“</w:t>
            </w:r>
            <w:r w:rsidRPr="007C26B0">
              <w:rPr>
                <w:rFonts w:ascii="宋体" w:hAnsi="宋体" w:hint="eastAsia"/>
                <w:b/>
                <w:color w:val="000000" w:themeColor="text1"/>
                <w:bdr w:val="none" w:sz="0" w:space="0" w:color="auto" w:frame="1"/>
              </w:rPr>
              <w:t>DHL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”）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的一家间接全资子公司与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沙特阿美发展公司（“</w:t>
            </w:r>
            <w:r w:rsidRPr="007C26B0">
              <w:rPr>
                <w:rFonts w:ascii="宋体" w:hAnsi="宋体" w:hint="eastAsia"/>
                <w:b/>
                <w:color w:val="000000" w:themeColor="text1"/>
                <w:bdr w:val="none" w:sz="0" w:space="0" w:color="auto" w:frame="1"/>
              </w:rPr>
              <w:t>阿美发展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”）已签署协议拟设</w:t>
            </w:r>
            <w:proofErr w:type="gramStart"/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立一家</w:t>
            </w:r>
            <w:proofErr w:type="gramEnd"/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合营企业（“</w:t>
            </w:r>
            <w:r w:rsidRPr="007C26B0">
              <w:rPr>
                <w:rFonts w:ascii="宋体" w:hAnsi="宋体" w:hint="eastAsia"/>
                <w:b/>
                <w:color w:val="000000" w:themeColor="text1"/>
                <w:bdr w:val="none" w:sz="0" w:space="0" w:color="auto" w:frame="1"/>
              </w:rPr>
              <w:t>合营企业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”），合营企业将在中国境外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从事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开发、运营和维护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提供采购和物流服务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设施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的业务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（“</w:t>
            </w:r>
            <w:r w:rsidRPr="007C26B0">
              <w:rPr>
                <w:rFonts w:ascii="宋体" w:hAnsi="宋体" w:hint="eastAsia"/>
                <w:b/>
                <w:color w:val="000000" w:themeColor="text1"/>
                <w:bdr w:val="none" w:sz="0" w:space="0" w:color="auto" w:frame="1"/>
              </w:rPr>
              <w:t>本次交易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”）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。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本次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交易交割后，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D</w:t>
            </w:r>
            <w:r>
              <w:rPr>
                <w:rFonts w:ascii="宋体" w:hAnsi="宋体"/>
                <w:color w:val="000000" w:themeColor="text1"/>
                <w:bdr w:val="none" w:sz="0" w:space="0" w:color="auto" w:frame="1"/>
              </w:rPr>
              <w:t>HL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（通过其子公司）将持有合营企业5</w:t>
            </w:r>
            <w:r>
              <w:rPr>
                <w:rFonts w:ascii="宋体" w:hAnsi="宋体"/>
                <w:color w:val="000000" w:themeColor="text1"/>
                <w:bdr w:val="none" w:sz="0" w:space="0" w:color="auto" w:frame="1"/>
              </w:rPr>
              <w:t>1%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的股权，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阿美发展</w:t>
            </w:r>
            <w:r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将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持有合营企业</w:t>
            </w:r>
            <w:r>
              <w:rPr>
                <w:rFonts w:ascii="宋体" w:hAnsi="宋体"/>
                <w:color w:val="000000" w:themeColor="text1"/>
                <w:bdr w:val="none" w:sz="0" w:space="0" w:color="auto" w:frame="1"/>
              </w:rPr>
              <w:t>49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%的股权，从而共同控制合营企业。</w:t>
            </w:r>
          </w:p>
        </w:tc>
      </w:tr>
      <w:tr w:rsidR="003D611A" w:rsidRPr="007C26B0" w14:paraId="3CEBAECB" w14:textId="77777777" w:rsidTr="003D611A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44483A1" w14:textId="7122F639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="Times New Roman"/>
                <w:bCs/>
                <w:color w:val="000000"/>
                <w:lang w:eastAsia="zh-CN"/>
              </w:rPr>
              <w:t>参与集中的经营者简介</w:t>
            </w:r>
          </w:p>
        </w:tc>
        <w:tc>
          <w:tcPr>
            <w:tcW w:w="1607" w:type="dxa"/>
            <w:vAlign w:val="center"/>
          </w:tcPr>
          <w:p w14:paraId="637A8C28" w14:textId="1B033919" w:rsidR="003D611A" w:rsidRPr="007C26B0" w:rsidRDefault="007C26B0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eastAsia="zh-CN"/>
              </w:rPr>
            </w:pPr>
            <w:r w:rsidRPr="007C26B0">
              <w:rPr>
                <w:rFonts w:ascii="宋体" w:hAnsi="宋体"/>
                <w:color w:val="000000" w:themeColor="text1"/>
                <w:bdr w:val="none" w:sz="0" w:space="0" w:color="auto" w:frame="1"/>
                <w:lang w:eastAsia="zh-CN"/>
              </w:rPr>
              <w:t>1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  <w:lang w:eastAsia="zh-CN"/>
              </w:rPr>
              <w:t>.</w:t>
            </w:r>
            <w:r w:rsidR="00F721FF" w:rsidRPr="007C26B0">
              <w:rPr>
                <w:rFonts w:ascii="宋体" w:hAnsi="宋体" w:cstheme="majorBidi"/>
                <w:bCs/>
                <w:color w:val="000000"/>
                <w:lang w:val="en-US" w:eastAsia="zh-CN"/>
              </w:rPr>
              <w:t>DHL</w:t>
            </w:r>
          </w:p>
        </w:tc>
        <w:tc>
          <w:tcPr>
            <w:tcW w:w="6547" w:type="dxa"/>
            <w:vAlign w:val="center"/>
          </w:tcPr>
          <w:p w14:paraId="33A3EC4F" w14:textId="77777777" w:rsidR="004F7A42" w:rsidRPr="004F7A42" w:rsidRDefault="00F721FF" w:rsidP="006E4169">
            <w:pPr>
              <w:snapToGrid w:val="0"/>
              <w:spacing w:after="0"/>
              <w:rPr>
                <w:rFonts w:ascii="宋体" w:hAnsi="宋体"/>
                <w:color w:val="000000" w:themeColor="text1"/>
                <w:bdr w:val="none" w:sz="0" w:space="0" w:color="auto" w:frame="1"/>
              </w:rPr>
            </w:pPr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DHL</w:t>
            </w:r>
            <w:r w:rsidR="008B3422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于</w:t>
            </w:r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1995</w:t>
            </w:r>
            <w:r w:rsidR="00C80335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年</w:t>
            </w:r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1</w:t>
            </w:r>
            <w:r w:rsidR="00C80335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月</w:t>
            </w:r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2</w:t>
            </w:r>
            <w:r w:rsidR="00C80335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日成立于</w:t>
            </w:r>
            <w:r w:rsidR="00001459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德国</w:t>
            </w:r>
            <w:r w:rsidR="00561252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，</w:t>
            </w:r>
            <w:r w:rsidR="00001459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为法兰克福证券交易所上市公司，</w:t>
            </w:r>
            <w:r w:rsidR="00561252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主要</w:t>
            </w:r>
            <w:r w:rsidR="00C637C9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从事物流业务</w:t>
            </w:r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，包括国内和国际包裹递送、国际快递、货运、电子商务和供应链管理服务</w:t>
            </w:r>
            <w:r w:rsidR="00C80335"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。</w:t>
            </w:r>
          </w:p>
          <w:p w14:paraId="1016273B" w14:textId="73EBAEF5" w:rsidR="00C80335" w:rsidRPr="004F7A42" w:rsidRDefault="00F721FF" w:rsidP="006E4169">
            <w:pPr>
              <w:snapToGrid w:val="0"/>
              <w:spacing w:after="0"/>
              <w:rPr>
                <w:rFonts w:ascii="宋体" w:hAnsi="宋体"/>
                <w:color w:val="000000" w:themeColor="text1"/>
                <w:bdr w:val="none" w:sz="0" w:space="0" w:color="auto" w:frame="1"/>
              </w:rPr>
            </w:pPr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DHL</w:t>
            </w:r>
            <w:proofErr w:type="gramStart"/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无最终</w:t>
            </w:r>
            <w:proofErr w:type="gramEnd"/>
            <w:r w:rsidRPr="004F7A42">
              <w:rPr>
                <w:rFonts w:ascii="宋体" w:hAnsi="宋体"/>
                <w:color w:val="000000" w:themeColor="text1"/>
                <w:bdr w:val="none" w:sz="0" w:space="0" w:color="auto" w:frame="1"/>
              </w:rPr>
              <w:t>控制人。</w:t>
            </w:r>
          </w:p>
        </w:tc>
      </w:tr>
      <w:tr w:rsidR="007C26B0" w:rsidRPr="007C26B0" w14:paraId="0A4C7D2B" w14:textId="77777777" w:rsidTr="007B7320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389D699A" w14:textId="77777777" w:rsidR="007C26B0" w:rsidRPr="007C26B0" w:rsidRDefault="007C26B0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09E91A35" w14:textId="70CA949E" w:rsidR="007C26B0" w:rsidRPr="007C26B0" w:rsidRDefault="007C26B0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eastAsia="zh-CN"/>
              </w:rPr>
            </w:pPr>
            <w:r w:rsidRPr="007C26B0">
              <w:rPr>
                <w:rFonts w:ascii="宋体" w:hAnsi="宋体"/>
                <w:color w:val="000000" w:themeColor="text1"/>
                <w:bdr w:val="none" w:sz="0" w:space="0" w:color="auto" w:frame="1"/>
              </w:rPr>
              <w:t>2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  <w:lang w:eastAsia="zh-CN"/>
              </w:rPr>
              <w:t>.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阿美发展</w:t>
            </w:r>
          </w:p>
        </w:tc>
        <w:tc>
          <w:tcPr>
            <w:tcW w:w="6547" w:type="dxa"/>
          </w:tcPr>
          <w:p w14:paraId="6C5ADD4E" w14:textId="77777777" w:rsidR="00BF0040" w:rsidRDefault="007C26B0" w:rsidP="00052ACB">
            <w:pPr>
              <w:snapToGrid w:val="0"/>
              <w:spacing w:after="0"/>
              <w:rPr>
                <w:rFonts w:ascii="宋体" w:hAnsi="宋体"/>
                <w:color w:val="000000" w:themeColor="text1"/>
                <w:bdr w:val="none" w:sz="0" w:space="0" w:color="auto" w:frame="1"/>
              </w:rPr>
            </w:pP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阿美发展于2</w:t>
            </w:r>
            <w:r w:rsidRPr="007C26B0">
              <w:rPr>
                <w:rFonts w:ascii="宋体" w:hAnsi="宋体"/>
                <w:color w:val="000000" w:themeColor="text1"/>
                <w:bdr w:val="none" w:sz="0" w:space="0" w:color="auto" w:frame="1"/>
              </w:rPr>
              <w:t>013</w:t>
            </w: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年成立于沙特阿拉伯，旨在实现沙</w:t>
            </w:r>
            <w:r w:rsidR="004F7A42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特阿拉伯石油和天然气、石化、电力、采矿和其他行业的现代化和发展</w:t>
            </w:r>
            <w:r w:rsidR="00BF004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。</w:t>
            </w:r>
          </w:p>
          <w:p w14:paraId="0117D4D4" w14:textId="6BF33591" w:rsidR="007C26B0" w:rsidRPr="004F7A42" w:rsidRDefault="007C26B0" w:rsidP="00052ACB">
            <w:pPr>
              <w:snapToGrid w:val="0"/>
              <w:spacing w:after="0"/>
              <w:rPr>
                <w:rFonts w:ascii="宋体" w:hAnsi="宋体"/>
                <w:color w:val="000000" w:themeColor="text1"/>
                <w:bdr w:val="none" w:sz="0" w:space="0" w:color="auto" w:frame="1"/>
              </w:rPr>
            </w:pPr>
            <w:r w:rsidRPr="007C26B0">
              <w:rPr>
                <w:rFonts w:ascii="宋体" w:hAnsi="宋体" w:hint="eastAsia"/>
                <w:color w:val="000000" w:themeColor="text1"/>
                <w:bdr w:val="none" w:sz="0" w:space="0" w:color="auto" w:frame="1"/>
              </w:rPr>
              <w:t>阿美发展的最终控制人为沙特阿拉伯国家石油公司，主要从事勘察、勘探、钻探和提炼碳氢化合物，以及加工、制造、提炼和销售这些物质。</w:t>
            </w:r>
          </w:p>
        </w:tc>
      </w:tr>
      <w:tr w:rsidR="003D611A" w:rsidRPr="007C26B0" w14:paraId="6E302808" w14:textId="77777777" w:rsidTr="003D611A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36A9E49" w14:textId="654CD700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="Times New Roman"/>
                <w:bCs/>
                <w:color w:val="000000"/>
                <w:lang w:eastAsia="zh-CN"/>
              </w:rPr>
              <w:t>简易案件理由</w:t>
            </w:r>
          </w:p>
        </w:tc>
        <w:tc>
          <w:tcPr>
            <w:tcW w:w="8154" w:type="dxa"/>
            <w:gridSpan w:val="2"/>
            <w:vAlign w:val="center"/>
          </w:tcPr>
          <w:p w14:paraId="1C471653" w14:textId="6A0F80F4" w:rsidR="003D611A" w:rsidRPr="007C26B0" w:rsidRDefault="00F3286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sym w:font="Wingdings" w:char="00A8"/>
            </w:r>
            <w:r w:rsidR="00D717D1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 xml:space="preserve"> </w:t>
            </w:r>
            <w:r w:rsidR="003D611A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>1、在同一相关市场，所有参与集中的经营者所占市场份额之和小于15%。</w:t>
            </w:r>
          </w:p>
        </w:tc>
      </w:tr>
      <w:tr w:rsidR="003D611A" w:rsidRPr="007C26B0" w14:paraId="3514E504" w14:textId="77777777" w:rsidTr="003D611A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487CB41A" w14:textId="77777777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8154" w:type="dxa"/>
            <w:gridSpan w:val="2"/>
            <w:vAlign w:val="center"/>
          </w:tcPr>
          <w:p w14:paraId="73162EF8" w14:textId="55E609CC" w:rsidR="003D611A" w:rsidRPr="007C26B0" w:rsidRDefault="00F721FF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sym w:font="Wingdings" w:char="00A8"/>
            </w:r>
            <w:r w:rsidR="00D717D1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 xml:space="preserve"> </w:t>
            </w:r>
            <w:r w:rsidR="003D611A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>2、存在上下游关系的参与集中的经营者，在上下游市场所占的市场份额均小于25%。</w:t>
            </w:r>
          </w:p>
        </w:tc>
      </w:tr>
      <w:tr w:rsidR="003D611A" w:rsidRPr="007C26B0" w14:paraId="49C98DCA" w14:textId="77777777" w:rsidTr="003D611A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7DA2AD48" w14:textId="77777777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8154" w:type="dxa"/>
            <w:gridSpan w:val="2"/>
            <w:vAlign w:val="center"/>
          </w:tcPr>
          <w:p w14:paraId="64DE9366" w14:textId="28BA3A65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sym w:font="Wingdings" w:char="00A8"/>
            </w:r>
            <w:r w:rsidR="00D717D1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 xml:space="preserve"> </w:t>
            </w:r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3D611A" w:rsidRPr="007C26B0" w14:paraId="4A171F9E" w14:textId="77777777" w:rsidTr="003D611A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54516123" w14:textId="77777777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8154" w:type="dxa"/>
            <w:gridSpan w:val="2"/>
            <w:vAlign w:val="center"/>
          </w:tcPr>
          <w:p w14:paraId="510864FD" w14:textId="73CAD879" w:rsidR="003D611A" w:rsidRPr="007C26B0" w:rsidRDefault="007C26B0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sym w:font="Wingdings" w:char="00FE"/>
            </w:r>
            <w:r w:rsidR="003D611A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3D611A" w:rsidRPr="007C26B0" w14:paraId="40BB97CA" w14:textId="77777777" w:rsidTr="003D611A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7424C4D7" w14:textId="77777777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8154" w:type="dxa"/>
            <w:gridSpan w:val="2"/>
            <w:vAlign w:val="center"/>
          </w:tcPr>
          <w:p w14:paraId="41A06125" w14:textId="0E6B0975" w:rsidR="003D611A" w:rsidRPr="007C26B0" w:rsidRDefault="007C26B0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sym w:font="Wingdings" w:char="00A8"/>
            </w:r>
            <w:r w:rsidR="00D717D1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 xml:space="preserve"> </w:t>
            </w:r>
            <w:r w:rsidR="003D611A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>5、参与集中的经营者收购境外企业股权或资产的，该境外企业不在中国境内从事经济活动。</w:t>
            </w:r>
          </w:p>
        </w:tc>
      </w:tr>
      <w:tr w:rsidR="003D611A" w:rsidRPr="007C26B0" w14:paraId="043BCAB3" w14:textId="77777777" w:rsidTr="003D611A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77BB07EE" w14:textId="77777777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8154" w:type="dxa"/>
            <w:gridSpan w:val="2"/>
            <w:vAlign w:val="center"/>
          </w:tcPr>
          <w:p w14:paraId="5D2C36B6" w14:textId="7F0C80F5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sym w:font="Wingdings" w:char="00A8"/>
            </w:r>
            <w:r w:rsidR="00D717D1"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 xml:space="preserve"> </w:t>
            </w:r>
            <w:bookmarkStart w:id="0" w:name="_GoBack"/>
            <w:bookmarkEnd w:id="0"/>
            <w:r w:rsidRPr="007C26B0">
              <w:rPr>
                <w:rFonts w:ascii="宋体" w:hAnsi="宋体" w:cstheme="majorBidi"/>
                <w:bCs/>
                <w:color w:val="000000"/>
                <w:lang w:eastAsia="zh-CN"/>
              </w:rPr>
              <w:t>6、由两个以上的经营者共同控制的合营企业，通过集中被其中一个或一个以上经营者控制。</w:t>
            </w:r>
          </w:p>
        </w:tc>
      </w:tr>
      <w:tr w:rsidR="003D611A" w:rsidRPr="007C26B0" w14:paraId="4557D99E" w14:textId="77777777" w:rsidTr="003D611A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04DBDBB2" w14:textId="77777777" w:rsidR="003D611A" w:rsidRPr="007C26B0" w:rsidRDefault="003D611A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8154" w:type="dxa"/>
            <w:gridSpan w:val="2"/>
            <w:vAlign w:val="center"/>
          </w:tcPr>
          <w:p w14:paraId="535A2C07" w14:textId="170BB807" w:rsidR="00D96567" w:rsidRPr="007C26B0" w:rsidRDefault="00F721FF" w:rsidP="006E4169">
            <w:pPr>
              <w:pStyle w:val="BodyText"/>
              <w:adjustRightInd w:val="0"/>
              <w:snapToGrid w:val="0"/>
              <w:spacing w:after="0"/>
              <w:rPr>
                <w:rFonts w:ascii="宋体" w:hAnsi="宋体" w:cstheme="majorBidi"/>
                <w:bCs/>
                <w:color w:val="000000"/>
                <w:lang w:val="en-US" w:eastAsia="zh-CN"/>
              </w:rPr>
            </w:pPr>
            <w:r w:rsidRPr="007C26B0">
              <w:rPr>
                <w:rFonts w:ascii="宋体" w:hAnsi="宋体" w:cstheme="majorBidi"/>
                <w:color w:val="000000"/>
                <w:lang w:eastAsia="zh-CN"/>
              </w:rPr>
              <w:t>不适用</w:t>
            </w:r>
          </w:p>
        </w:tc>
      </w:tr>
    </w:tbl>
    <w:p w14:paraId="56444A67" w14:textId="77777777" w:rsidR="00ED512E" w:rsidRPr="00457AF3" w:rsidRDefault="00ED512E" w:rsidP="006E4169">
      <w:pPr>
        <w:snapToGrid w:val="0"/>
        <w:spacing w:after="0"/>
        <w:rPr>
          <w:rFonts w:ascii="宋体" w:hAnsi="宋体"/>
        </w:rPr>
      </w:pPr>
    </w:p>
    <w:sectPr w:rsidR="00ED512E" w:rsidRPr="00457AF3" w:rsidSect="003D611A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51FC" w14:textId="77777777" w:rsidR="00471425" w:rsidRDefault="00471425">
      <w:pPr>
        <w:spacing w:after="0"/>
      </w:pPr>
    </w:p>
  </w:endnote>
  <w:endnote w:type="continuationSeparator" w:id="0">
    <w:p w14:paraId="5F277102" w14:textId="77777777" w:rsidR="00471425" w:rsidRDefault="004714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9D55" w14:textId="77777777" w:rsidR="00471425" w:rsidRDefault="00471425">
      <w:pPr>
        <w:spacing w:after="0"/>
      </w:pPr>
    </w:p>
  </w:footnote>
  <w:footnote w:type="continuationSeparator" w:id="0">
    <w:p w14:paraId="1BAC2180" w14:textId="77777777" w:rsidR="00471425" w:rsidRDefault="00471425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A"/>
    <w:rsid w:val="00001459"/>
    <w:rsid w:val="00013BA4"/>
    <w:rsid w:val="00052ACB"/>
    <w:rsid w:val="000918F6"/>
    <w:rsid w:val="00092C73"/>
    <w:rsid w:val="000B4C36"/>
    <w:rsid w:val="000B5F3C"/>
    <w:rsid w:val="000B7BA1"/>
    <w:rsid w:val="000F75B1"/>
    <w:rsid w:val="00106063"/>
    <w:rsid w:val="00122A38"/>
    <w:rsid w:val="00165377"/>
    <w:rsid w:val="001C51DF"/>
    <w:rsid w:val="002075AF"/>
    <w:rsid w:val="0026261D"/>
    <w:rsid w:val="002766B0"/>
    <w:rsid w:val="002859F8"/>
    <w:rsid w:val="002D7079"/>
    <w:rsid w:val="00320C4D"/>
    <w:rsid w:val="00324E96"/>
    <w:rsid w:val="003743DF"/>
    <w:rsid w:val="00383FD9"/>
    <w:rsid w:val="00393939"/>
    <w:rsid w:val="003A391B"/>
    <w:rsid w:val="003C3352"/>
    <w:rsid w:val="003D54DD"/>
    <w:rsid w:val="003D611A"/>
    <w:rsid w:val="003F7337"/>
    <w:rsid w:val="00412CEB"/>
    <w:rsid w:val="00457AF3"/>
    <w:rsid w:val="0046562E"/>
    <w:rsid w:val="00471425"/>
    <w:rsid w:val="004D4520"/>
    <w:rsid w:val="004F0666"/>
    <w:rsid w:val="004F7A42"/>
    <w:rsid w:val="0050423B"/>
    <w:rsid w:val="00504EC7"/>
    <w:rsid w:val="00524393"/>
    <w:rsid w:val="00561252"/>
    <w:rsid w:val="00583D61"/>
    <w:rsid w:val="005B2159"/>
    <w:rsid w:val="005B34AA"/>
    <w:rsid w:val="005D01E2"/>
    <w:rsid w:val="005D2614"/>
    <w:rsid w:val="005D44C4"/>
    <w:rsid w:val="005D558B"/>
    <w:rsid w:val="005E2429"/>
    <w:rsid w:val="005E3674"/>
    <w:rsid w:val="005E3ABA"/>
    <w:rsid w:val="005E60A5"/>
    <w:rsid w:val="006042C3"/>
    <w:rsid w:val="00654DCA"/>
    <w:rsid w:val="0065679C"/>
    <w:rsid w:val="006C6AF3"/>
    <w:rsid w:val="006E4169"/>
    <w:rsid w:val="00733D47"/>
    <w:rsid w:val="00743AD4"/>
    <w:rsid w:val="007B4C2A"/>
    <w:rsid w:val="007C26B0"/>
    <w:rsid w:val="007E5F69"/>
    <w:rsid w:val="008142DB"/>
    <w:rsid w:val="008741E9"/>
    <w:rsid w:val="00895DCF"/>
    <w:rsid w:val="008A4E92"/>
    <w:rsid w:val="008A6117"/>
    <w:rsid w:val="008B3422"/>
    <w:rsid w:val="008C701F"/>
    <w:rsid w:val="009049C5"/>
    <w:rsid w:val="009233C6"/>
    <w:rsid w:val="009456E8"/>
    <w:rsid w:val="00955597"/>
    <w:rsid w:val="009A43DF"/>
    <w:rsid w:val="009D1281"/>
    <w:rsid w:val="00A10350"/>
    <w:rsid w:val="00A73D4C"/>
    <w:rsid w:val="00AC1DCB"/>
    <w:rsid w:val="00B103AE"/>
    <w:rsid w:val="00B50EFD"/>
    <w:rsid w:val="00B545A6"/>
    <w:rsid w:val="00B54E74"/>
    <w:rsid w:val="00B56137"/>
    <w:rsid w:val="00B610D6"/>
    <w:rsid w:val="00B83F97"/>
    <w:rsid w:val="00B9105B"/>
    <w:rsid w:val="00BF0040"/>
    <w:rsid w:val="00C15E43"/>
    <w:rsid w:val="00C36FA3"/>
    <w:rsid w:val="00C37599"/>
    <w:rsid w:val="00C51B5E"/>
    <w:rsid w:val="00C637C9"/>
    <w:rsid w:val="00C80335"/>
    <w:rsid w:val="00CA1F1C"/>
    <w:rsid w:val="00CE0126"/>
    <w:rsid w:val="00D02977"/>
    <w:rsid w:val="00D5727C"/>
    <w:rsid w:val="00D717D1"/>
    <w:rsid w:val="00D7473B"/>
    <w:rsid w:val="00D96567"/>
    <w:rsid w:val="00D96DC8"/>
    <w:rsid w:val="00DB2F6E"/>
    <w:rsid w:val="00DC013B"/>
    <w:rsid w:val="00DC0624"/>
    <w:rsid w:val="00E00EF6"/>
    <w:rsid w:val="00E53073"/>
    <w:rsid w:val="00E7406A"/>
    <w:rsid w:val="00E75A69"/>
    <w:rsid w:val="00EB3F65"/>
    <w:rsid w:val="00ED041B"/>
    <w:rsid w:val="00ED512E"/>
    <w:rsid w:val="00F07E59"/>
    <w:rsid w:val="00F20428"/>
    <w:rsid w:val="00F3286A"/>
    <w:rsid w:val="00F721FF"/>
    <w:rsid w:val="00F97C33"/>
    <w:rsid w:val="00FE00B5"/>
    <w:rsid w:val="00FE057F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FADFA"/>
  <w15:chartTrackingRefBased/>
  <w15:docId w15:val="{235C44AB-DE6C-4738-914F-9192B6BB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1A"/>
    <w:pPr>
      <w:spacing w:after="240"/>
      <w:jc w:val="both"/>
    </w:pPr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611A"/>
    <w:rPr>
      <w:rFonts w:cs="Simplified Arabic"/>
      <w:lang w:eastAsia="en-GB"/>
    </w:rPr>
  </w:style>
  <w:style w:type="character" w:customStyle="1" w:styleId="BodyTextChar">
    <w:name w:val="Body Text Char"/>
    <w:basedOn w:val="DefaultParagraphFont"/>
    <w:link w:val="BodyText"/>
    <w:rsid w:val="003D611A"/>
    <w:rPr>
      <w:rFonts w:ascii="Times New Roman" w:eastAsia="宋体" w:hAnsi="Times New Roman" w:cs="Simplified Arabic"/>
      <w:kern w:val="0"/>
      <w:sz w:val="24"/>
      <w:szCs w:val="24"/>
      <w:lang w:val="en-GB" w:eastAsia="en-GB" w:bidi="ar-AE"/>
    </w:rPr>
  </w:style>
  <w:style w:type="table" w:styleId="TableGrid">
    <w:name w:val="Table Grid"/>
    <w:basedOn w:val="TableNormal"/>
    <w:uiPriority w:val="39"/>
    <w:rsid w:val="00D9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041B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paragraph" w:styleId="Footer">
    <w:name w:val="footer"/>
    <w:basedOn w:val="Normal"/>
    <w:link w:val="FooterChar"/>
    <w:uiPriority w:val="99"/>
    <w:unhideWhenUsed/>
    <w:rsid w:val="00ED0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041B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F8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F8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F07E5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E59"/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59"/>
    <w:rPr>
      <w:rFonts w:ascii="Times New Roman" w:eastAsia="宋体" w:hAnsi="Times New Roman" w:cs="Times New Roman"/>
      <w:b/>
      <w:bCs/>
      <w:kern w:val="0"/>
      <w:sz w:val="24"/>
      <w:szCs w:val="24"/>
      <w:lang w:val="en-GB" w:bidi="ar-AE"/>
    </w:rPr>
  </w:style>
  <w:style w:type="paragraph" w:styleId="MacroText">
    <w:name w:val="macro"/>
    <w:link w:val="MacroTextChar"/>
    <w:rsid w:val="00F32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宋体" w:hAnsi="Courier New" w:cs="Courier New"/>
      <w:kern w:val="0"/>
      <w:sz w:val="20"/>
      <w:szCs w:val="20"/>
      <w:lang w:val="en-GB" w:bidi="ar-AE"/>
    </w:rPr>
  </w:style>
  <w:style w:type="character" w:customStyle="1" w:styleId="MacroTextChar">
    <w:name w:val="Macro Text Char"/>
    <w:basedOn w:val="DefaultParagraphFont"/>
    <w:link w:val="MacroText"/>
    <w:rsid w:val="00F3286A"/>
    <w:rPr>
      <w:rFonts w:ascii="Courier New" w:eastAsia="宋体" w:hAnsi="Courier New" w:cs="Courier New"/>
      <w:kern w:val="0"/>
      <w:sz w:val="20"/>
      <w:szCs w:val="20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5E60-976F-480D-A2C3-17F4CC3F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649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Allen &amp; Overy</cp:lastModifiedBy>
  <cp:revision>35</cp:revision>
  <dcterms:created xsi:type="dcterms:W3CDTF">2022-06-14T00:49:00Z</dcterms:created>
  <dcterms:modified xsi:type="dcterms:W3CDTF">2023-03-16T09:08:00Z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2023-03-16T04:12:27Z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f167c148-059c-4156-b0ea-532825f84cdc</vt:lpwstr>
  </property>
  <property fmtid="{D5CDD505-2E9C-101B-9397-08002B2CF9AE}" pid="8" name="MSIP_Label_42e67a54-274b-43d7-8098-b3ba5f50e576_ContentBits">
    <vt:lpwstr>0</vt:lpwstr>
  </property>
  <property fmtid="{D5CDD505-2E9C-101B-9397-08002B2CF9AE}" pid="9" name="Client">
    <vt:lpwstr>0030589</vt:lpwstr>
  </property>
  <property fmtid="{D5CDD505-2E9C-101B-9397-08002B2CF9AE}" pid="10" name="Matter">
    <vt:lpwstr>0000252</vt:lpwstr>
  </property>
  <property fmtid="{D5CDD505-2E9C-101B-9397-08002B2CF9AE}" pid="11" name="cpDocRef">
    <vt:lpwstr>EUO3: 2011560326.1</vt:lpwstr>
  </property>
  <property fmtid="{D5CDD505-2E9C-101B-9397-08002B2CF9AE}" pid="12" name="cpClientMatter">
    <vt:lpwstr>0030589-0000252</vt:lpwstr>
  </property>
  <property fmtid="{D5CDD505-2E9C-101B-9397-08002B2CF9AE}" pid="13" name="cpCombinedRef">
    <vt:lpwstr>0030589-0000252 EUO3: 2011560326.1</vt:lpwstr>
  </property>
</Properties>
</file>