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bookmarkStart w:id="0" w:name="_GoBack"/>
      <w:r>
        <w:rPr>
          <w:rFonts w:ascii="黑体" w:hAnsi="黑体" w:eastAsia="黑体" w:cs="黑体"/>
          <w:bCs/>
          <w:sz w:val="36"/>
          <w:szCs w:val="36"/>
        </w:rPr>
        <w:t>经营者集中简易案件公示表</w:t>
      </w:r>
    </w:p>
    <w:bookmarkEnd w:id="0"/>
    <w:tbl>
      <w:tblPr>
        <w:tblStyle w:val="4"/>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940" w:type="dxa"/>
            <w:shd w:val="clear" w:color="auto" w:fill="D9D9D9"/>
            <w:noWrap w:val="0"/>
            <w:vAlign w:val="center"/>
          </w:tcPr>
          <w:p>
            <w:pPr>
              <w:spacing w:after="0"/>
              <w:rPr>
                <w:lang w:val="en-US"/>
              </w:rPr>
            </w:pPr>
            <w:r>
              <w:t>案件名称</w:t>
            </w:r>
          </w:p>
        </w:tc>
        <w:tc>
          <w:tcPr>
            <w:tcW w:w="7700" w:type="dxa"/>
            <w:gridSpan w:val="2"/>
            <w:noWrap w:val="0"/>
            <w:vAlign w:val="center"/>
          </w:tcPr>
          <w:p>
            <w:pPr>
              <w:spacing w:after="0"/>
              <w:rPr>
                <w:lang w:val="en-US"/>
              </w:rPr>
            </w:pPr>
            <w:r>
              <w:rPr>
                <w:rFonts w:hint="eastAsia"/>
                <w:lang w:val="en-US"/>
              </w:rPr>
              <w:t>珠海大横琴集团有限公司收购深圳市宝鹰建设控股集团股份有限公司股权案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1940" w:type="dxa"/>
            <w:shd w:val="clear" w:color="auto" w:fill="D9D9D9"/>
            <w:noWrap w:val="0"/>
            <w:vAlign w:val="center"/>
          </w:tcPr>
          <w:p>
            <w:pPr>
              <w:spacing w:after="0"/>
              <w:rPr>
                <w:lang w:val="en-US"/>
              </w:rPr>
            </w:pPr>
            <w:r>
              <w:t>交易概况（限200字内）</w:t>
            </w:r>
          </w:p>
        </w:tc>
        <w:tc>
          <w:tcPr>
            <w:tcW w:w="7700" w:type="dxa"/>
            <w:gridSpan w:val="2"/>
            <w:noWrap w:val="0"/>
            <w:vAlign w:val="center"/>
          </w:tcPr>
          <w:p>
            <w:pPr>
              <w:spacing w:after="0"/>
              <w:rPr>
                <w:lang w:val="en-US"/>
              </w:rPr>
            </w:pPr>
            <w:r>
              <w:rPr>
                <w:rFonts w:hint="eastAsia"/>
                <w:lang w:val="en-US"/>
              </w:rPr>
              <w:t>珠海大横琴集团有限公司（“</w:t>
            </w:r>
            <w:r>
              <w:rPr>
                <w:rFonts w:hint="eastAsia"/>
                <w:b/>
                <w:lang w:val="en-US"/>
              </w:rPr>
              <w:t>大横琴集团</w:t>
            </w:r>
            <w:r>
              <w:rPr>
                <w:rFonts w:hint="eastAsia"/>
                <w:lang w:val="en-US"/>
              </w:rPr>
              <w:t>”）与</w:t>
            </w:r>
            <w:r>
              <w:rPr>
                <w:lang w:val="en-US"/>
              </w:rPr>
              <w:t>珠海航空城发展集团有限公司（“</w:t>
            </w:r>
            <w:r>
              <w:rPr>
                <w:b/>
                <w:lang w:val="en-US"/>
              </w:rPr>
              <w:t>航空城集团</w:t>
            </w:r>
            <w:r>
              <w:rPr>
                <w:lang w:val="en-US"/>
              </w:rPr>
              <w:t>”）</w:t>
            </w:r>
            <w:r>
              <w:rPr>
                <w:rFonts w:hint="eastAsia"/>
                <w:lang w:val="en-US"/>
              </w:rPr>
              <w:t>签署协议，大横琴集团收购深圳市宝鹰建设控股集团股份有限公司（“</w:t>
            </w:r>
            <w:r>
              <w:rPr>
                <w:rFonts w:hint="eastAsia"/>
                <w:b/>
                <w:lang w:val="en-US"/>
              </w:rPr>
              <w:t>宝鹰股份</w:t>
            </w:r>
            <w:r>
              <w:rPr>
                <w:rFonts w:hint="eastAsia"/>
                <w:lang w:val="en-US"/>
              </w:rPr>
              <w:t>”）1</w:t>
            </w:r>
            <w:r>
              <w:rPr>
                <w:lang w:val="en-US"/>
              </w:rPr>
              <w:t>9.46%</w:t>
            </w:r>
            <w:r>
              <w:rPr>
                <w:rFonts w:hint="eastAsia"/>
                <w:lang w:val="en-US"/>
              </w:rPr>
              <w:t>股份。</w:t>
            </w:r>
          </w:p>
          <w:p>
            <w:pPr>
              <w:spacing w:after="0"/>
              <w:rPr>
                <w:lang w:val="en-US"/>
              </w:rPr>
            </w:pPr>
            <w:r>
              <w:rPr>
                <w:rFonts w:hint="eastAsia"/>
                <w:lang w:val="en-US"/>
              </w:rPr>
              <w:t>交易前，航空城集团持有宝鹰股份3</w:t>
            </w:r>
            <w:r>
              <w:rPr>
                <w:lang w:val="en-US"/>
              </w:rPr>
              <w:t>1%</w:t>
            </w:r>
            <w:r>
              <w:rPr>
                <w:rFonts w:hint="eastAsia"/>
                <w:lang w:val="en-US"/>
              </w:rPr>
              <w:t>的股份，单独控制宝鹰股份；交易后，大横琴集团将持有宝鹰股份1</w:t>
            </w:r>
            <w:r>
              <w:rPr>
                <w:lang w:val="en-US"/>
              </w:rPr>
              <w:t>9.46%</w:t>
            </w:r>
            <w:r>
              <w:rPr>
                <w:rFonts w:hint="eastAsia"/>
                <w:lang w:val="en-US"/>
              </w:rPr>
              <w:t>的股份，并单独控制宝鹰股份。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940" w:type="dxa"/>
            <w:vMerge w:val="restart"/>
            <w:shd w:val="clear" w:color="auto" w:fill="D9D9D9"/>
            <w:noWrap w:val="0"/>
            <w:vAlign w:val="center"/>
          </w:tcPr>
          <w:p>
            <w:pPr>
              <w:spacing w:after="0"/>
              <w:rPr>
                <w:lang w:val="en-US"/>
              </w:rPr>
            </w:pPr>
            <w:r>
              <w:t>参与集中的经营者简介（每个限</w:t>
            </w:r>
            <w:r>
              <w:rPr>
                <w:lang w:val="en-US"/>
              </w:rPr>
              <w:t>100字以内</w:t>
            </w:r>
            <w:r>
              <w:t>）</w:t>
            </w:r>
          </w:p>
        </w:tc>
        <w:tc>
          <w:tcPr>
            <w:tcW w:w="1607" w:type="dxa"/>
            <w:noWrap w:val="0"/>
            <w:vAlign w:val="center"/>
          </w:tcPr>
          <w:p>
            <w:pPr>
              <w:spacing w:after="0"/>
            </w:pPr>
            <w:r>
              <w:rPr>
                <w:lang w:val="en-US"/>
              </w:rPr>
              <w:t>1.</w:t>
            </w:r>
            <w:r>
              <w:rPr>
                <w:rFonts w:hint="eastAsia"/>
                <w:lang w:val="en-US"/>
              </w:rPr>
              <w:t>大横琴集团</w:t>
            </w:r>
          </w:p>
        </w:tc>
        <w:tc>
          <w:tcPr>
            <w:tcW w:w="6093" w:type="dxa"/>
            <w:noWrap w:val="0"/>
            <w:vAlign w:val="center"/>
          </w:tcPr>
          <w:p>
            <w:pPr>
              <w:spacing w:after="0"/>
              <w:rPr>
                <w:lang w:val="en-US"/>
              </w:rPr>
            </w:pPr>
            <w:r>
              <w:rPr>
                <w:rFonts w:hint="eastAsia"/>
                <w:lang w:val="en-US"/>
              </w:rPr>
              <w:t>大横琴集团于2</w:t>
            </w:r>
            <w:r>
              <w:rPr>
                <w:lang w:val="en-US"/>
              </w:rPr>
              <w:t>009</w:t>
            </w:r>
            <w:r>
              <w:rPr>
                <w:rFonts w:hint="eastAsia"/>
                <w:lang w:val="en-US"/>
              </w:rPr>
              <w:t>年4月2</w:t>
            </w:r>
            <w:r>
              <w:rPr>
                <w:lang w:val="en-US"/>
              </w:rPr>
              <w:t>3</w:t>
            </w:r>
            <w:r>
              <w:rPr>
                <w:rFonts w:hint="eastAsia"/>
                <w:lang w:val="en-US"/>
              </w:rPr>
              <w:t>日成立于中国广东省，其主要业务为土地一级开发、房地产销售、公共资源运营、经纪及资产运营等。</w:t>
            </w:r>
          </w:p>
          <w:p>
            <w:pPr>
              <w:spacing w:after="0"/>
            </w:pPr>
            <w:r>
              <w:rPr>
                <w:rFonts w:hint="eastAsia"/>
                <w:lang w:val="en-US"/>
              </w:rPr>
              <w:t>大横琴集团为珠海市国资委下属企业。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940" w:type="dxa"/>
            <w:vMerge w:val="continue"/>
            <w:shd w:val="clear" w:color="auto" w:fill="D9D9D9"/>
            <w:noWrap w:val="0"/>
            <w:vAlign w:val="center"/>
          </w:tcPr>
          <w:p>
            <w:pPr>
              <w:spacing w:after="0"/>
              <w:rPr>
                <w:lang w:val="en-US"/>
              </w:rPr>
            </w:pPr>
          </w:p>
        </w:tc>
        <w:tc>
          <w:tcPr>
            <w:tcW w:w="1607" w:type="dxa"/>
            <w:noWrap w:val="0"/>
            <w:vAlign w:val="center"/>
          </w:tcPr>
          <w:p>
            <w:pPr>
              <w:spacing w:after="0"/>
              <w:rPr>
                <w:rFonts w:hint="eastAsia"/>
              </w:rPr>
            </w:pPr>
            <w:r>
              <w:rPr>
                <w:lang w:val="en-US"/>
              </w:rPr>
              <w:t>2.</w:t>
            </w:r>
            <w:r>
              <w:rPr>
                <w:rFonts w:hint="eastAsia"/>
                <w:lang w:val="en-US"/>
              </w:rPr>
              <w:t>宝鹰股份</w:t>
            </w:r>
          </w:p>
        </w:tc>
        <w:tc>
          <w:tcPr>
            <w:tcW w:w="6093" w:type="dxa"/>
            <w:noWrap w:val="0"/>
            <w:vAlign w:val="center"/>
          </w:tcPr>
          <w:p>
            <w:pPr>
              <w:spacing w:after="0"/>
              <w:rPr>
                <w:lang w:val="en-US"/>
              </w:rPr>
            </w:pPr>
            <w:r>
              <w:rPr>
                <w:rFonts w:hint="eastAsia"/>
                <w:lang w:val="en-US"/>
              </w:rPr>
              <w:t>宝鹰股份于</w:t>
            </w:r>
            <w:r>
              <w:rPr>
                <w:lang w:val="en-US"/>
              </w:rPr>
              <w:t>1993</w:t>
            </w:r>
            <w:r>
              <w:rPr>
                <w:rFonts w:hint="eastAsia"/>
                <w:lang w:val="en-US"/>
              </w:rPr>
              <w:t>年</w:t>
            </w:r>
            <w:r>
              <w:rPr>
                <w:lang w:val="en-US"/>
              </w:rPr>
              <w:t>4月30日成立于中国</w:t>
            </w:r>
            <w:r>
              <w:rPr>
                <w:rFonts w:hint="eastAsia"/>
                <w:lang w:val="en-US"/>
              </w:rPr>
              <w:t>广东省，为深圳证券交易所上市公司，其主要业务为建筑装饰工程等。</w:t>
            </w:r>
          </w:p>
          <w:p>
            <w:pPr>
              <w:spacing w:after="0"/>
              <w:rPr>
                <w:rFonts w:hint="eastAsia"/>
                <w:lang w:val="en-US"/>
              </w:rPr>
            </w:pPr>
            <w:r>
              <w:rPr>
                <w:rFonts w:hint="eastAsia"/>
                <w:lang w:val="en-US"/>
              </w:rPr>
              <w:t>宝鹰股份的最终控制人为</w:t>
            </w:r>
            <w:r>
              <w:rPr>
                <w:rFonts w:hint="eastAsia" w:ascii="宋体" w:hAnsi="宋体"/>
                <w:color w:val="000000"/>
              </w:rPr>
              <w:t>珠海城发投资控股有限公司</w:t>
            </w:r>
            <w:r>
              <w:rPr>
                <w:rFonts w:hint="eastAsia"/>
                <w:color w:val="000000"/>
                <w:lang w:val="en-US"/>
              </w:rPr>
              <w:t>，</w:t>
            </w:r>
            <w:r>
              <w:rPr>
                <w:rFonts w:hint="eastAsia"/>
                <w:lang w:val="en-US"/>
              </w:rPr>
              <w:t>主要从事资本市场服务等业务。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940" w:type="dxa"/>
            <w:vMerge w:val="restart"/>
            <w:shd w:val="clear" w:color="auto" w:fill="D9D9D9"/>
            <w:noWrap w:val="0"/>
            <w:vAlign w:val="center"/>
          </w:tcPr>
          <w:p>
            <w:pPr>
              <w:spacing w:after="0"/>
              <w:rPr>
                <w:lang w:val="en-US"/>
              </w:rPr>
            </w:pPr>
            <w:r>
              <w:rPr>
                <w:rFonts w:hint="eastAsia"/>
              </w:rPr>
              <w:t>å</w:t>
            </w:r>
            <w:r>
              <w:t>简易案件理由（可以单选，也可以多选）</w:t>
            </w:r>
          </w:p>
        </w:tc>
        <w:tc>
          <w:tcPr>
            <w:tcW w:w="7700" w:type="dxa"/>
            <w:gridSpan w:val="2"/>
            <w:noWrap w:val="0"/>
            <w:vAlign w:val="center"/>
          </w:tcPr>
          <w:p>
            <w:pPr>
              <w:spacing w:after="0"/>
              <w:rPr>
                <w:lang w:val="en-US"/>
              </w:rPr>
            </w:pPr>
            <w:r>
              <w:rPr/>
              <w:sym w:font="Wingdings" w:char="00A8"/>
            </w:r>
            <w: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FE"/>
            </w:r>
            <w: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40" w:type="dxa"/>
            <w:vMerge w:val="continue"/>
            <w:shd w:val="clear" w:color="auto" w:fill="D9D9D9"/>
            <w:noWrap w:val="0"/>
            <w:vAlign w:val="center"/>
          </w:tcPr>
          <w:p>
            <w:pPr>
              <w:spacing w:after="0"/>
              <w:rPr>
                <w:lang w:val="en-US"/>
              </w:rPr>
            </w:pPr>
          </w:p>
        </w:tc>
        <w:tc>
          <w:tcPr>
            <w:tcW w:w="7700" w:type="dxa"/>
            <w:gridSpan w:val="2"/>
            <w:noWrap w:val="0"/>
            <w:vAlign w:val="center"/>
          </w:tcPr>
          <w:p>
            <w:pPr>
              <w:spacing w:after="0"/>
              <w:rPr>
                <w:lang w:val="en-US"/>
              </w:rPr>
            </w:pPr>
            <w:r>
              <w:rPr/>
              <w:sym w:font="Wingdings" w:char="00A8"/>
            </w:r>
            <w: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940" w:type="dxa"/>
            <w:shd w:val="clear" w:color="auto" w:fill="D9D9D9"/>
            <w:noWrap w:val="0"/>
            <w:vAlign w:val="center"/>
          </w:tcPr>
          <w:p>
            <w:pPr>
              <w:spacing w:after="0"/>
              <w:rPr>
                <w:lang w:val="en-US"/>
              </w:rPr>
            </w:pPr>
            <w:r>
              <w:rPr>
                <w:lang w:val="en-US"/>
              </w:rPr>
              <w:t>备注</w:t>
            </w:r>
          </w:p>
        </w:tc>
        <w:tc>
          <w:tcPr>
            <w:tcW w:w="7700" w:type="dxa"/>
            <w:gridSpan w:val="2"/>
            <w:noWrap w:val="0"/>
            <w:vAlign w:val="center"/>
          </w:tcPr>
          <w:p>
            <w:pPr>
              <w:spacing w:after="0"/>
              <w:rPr>
                <w:rFonts w:hint="eastAsia"/>
                <w:b/>
              </w:rPr>
            </w:pPr>
            <w:r>
              <w:rPr>
                <w:rFonts w:hint="eastAsia"/>
                <w:b/>
              </w:rPr>
              <w:t>纵向关联：</w:t>
            </w:r>
          </w:p>
          <w:p>
            <w:pPr>
              <w:spacing w:after="0"/>
              <w:rPr>
                <w:lang w:val="en-US"/>
              </w:rPr>
            </w:pPr>
            <w:r>
              <w:rPr>
                <w:rFonts w:hint="eastAsia"/>
                <w:lang w:val="en-US"/>
              </w:rPr>
              <w:t>上游：</w:t>
            </w:r>
          </w:p>
          <w:p>
            <w:pPr>
              <w:spacing w:after="0"/>
            </w:pPr>
            <w:r>
              <w:rPr>
                <w:lang w:val="en-US"/>
              </w:rPr>
              <w:t>2022年</w:t>
            </w:r>
            <w:r>
              <w:t>中国境内</w:t>
            </w:r>
            <w:r>
              <w:rPr>
                <w:rFonts w:hint="eastAsia"/>
              </w:rPr>
              <w:t>建筑装饰</w:t>
            </w:r>
            <w:r>
              <w:rPr>
                <w:rFonts w:hint="eastAsia"/>
                <w:lang w:eastAsia="zh-CN"/>
              </w:rPr>
              <w:t>装修</w:t>
            </w:r>
            <w:r>
              <w:rPr>
                <w:rFonts w:hint="eastAsia"/>
              </w:rPr>
              <w:t>市场：</w:t>
            </w:r>
          </w:p>
          <w:p>
            <w:pPr>
              <w:spacing w:after="0"/>
            </w:pPr>
            <w:r>
              <w:rPr>
                <w:rFonts w:hint="eastAsia"/>
              </w:rPr>
              <w:t>宝鹰股份：</w:t>
            </w:r>
            <w:r>
              <w:t>0-5%</w:t>
            </w:r>
          </w:p>
          <w:p>
            <w:pPr>
              <w:spacing w:after="0"/>
              <w:rPr>
                <w:lang w:val="en-US"/>
              </w:rPr>
            </w:pPr>
            <w:r>
              <w:rPr>
                <w:rFonts w:hint="eastAsia"/>
                <w:lang w:val="en-US"/>
              </w:rPr>
              <w:t>下游：</w:t>
            </w:r>
          </w:p>
          <w:p>
            <w:pPr>
              <w:spacing w:after="0"/>
              <w:rPr>
                <w:rFonts w:hint="eastAsia"/>
              </w:rPr>
            </w:pPr>
            <w:r>
              <w:rPr>
                <w:lang w:val="en-US"/>
              </w:rPr>
              <w:t>2022年</w:t>
            </w:r>
            <w:r>
              <w:rPr>
                <w:rFonts w:hint="eastAsia"/>
              </w:rPr>
              <w:t>珠海市写字楼开发与运营市场：</w:t>
            </w:r>
          </w:p>
          <w:p>
            <w:pPr>
              <w:spacing w:after="0"/>
              <w:rPr>
                <w:rFonts w:hint="eastAsia"/>
              </w:rPr>
            </w:pPr>
            <w:r>
              <w:rPr>
                <w:rFonts w:hint="eastAsia"/>
              </w:rPr>
              <w:t>大横琴集团：</w:t>
            </w:r>
            <w:r>
              <w:t>0-5%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34EF6"/>
    <w:rsid w:val="7C334E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after="156" w:afterLines="50" w:line="640" w:lineRule="exact"/>
      <w:outlineLvl w:val="0"/>
    </w:pPr>
    <w:rPr>
      <w:rFonts w:ascii="方正小标宋简体" w:eastAsia="方正小标宋简体"/>
      <w:sz w:val="44"/>
      <w:szCs w:val="36"/>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2023-05-11T02:29:00Z</dcterms:created>
  <dc:creator>胡翌婧</dc:creator>
  <cp:lastModifiedBy>胡翌婧</cp:lastModifiedBy>
  <dcterms:modified xsi:type="dcterms:W3CDTF">2023-05-11T02:29:44Z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