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23E" w14:textId="2DAD1523" w:rsidR="00946093" w:rsidRPr="006523CF" w:rsidRDefault="00946093" w:rsidP="00946093">
      <w:pPr>
        <w:jc w:val="center"/>
        <w:rPr>
          <w:rFonts w:eastAsia="黑体"/>
          <w:bCs/>
          <w:sz w:val="36"/>
          <w:szCs w:val="36"/>
        </w:rPr>
      </w:pPr>
      <w:r w:rsidRPr="006523CF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5555"/>
      </w:tblGrid>
      <w:tr w:rsidR="00946093" w:rsidRPr="006523CF" w14:paraId="2D13702C" w14:textId="77777777" w:rsidTr="00185356">
        <w:trPr>
          <w:trHeight w:val="92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52EED" w14:textId="77777777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83B" w14:textId="50EF8978" w:rsidR="00946093" w:rsidRPr="006523CF" w:rsidRDefault="00E07228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6523CF">
              <w:t>KKR</w:t>
            </w:r>
            <w:r w:rsidRPr="006523CF">
              <w:rPr>
                <w:rFonts w:hint="eastAsia"/>
              </w:rPr>
              <w:t>公司</w:t>
            </w:r>
            <w:r w:rsidR="003D1ECC" w:rsidRPr="006523CF">
              <w:rPr>
                <w:rFonts w:hint="eastAsia"/>
              </w:rPr>
              <w:t>与</w:t>
            </w:r>
            <w:r w:rsidR="004B50D9" w:rsidRPr="006523CF">
              <w:t>Gateway Real Estate Fund VII (Singapore), LP.</w:t>
            </w:r>
            <w:r w:rsidR="008F57B9" w:rsidRPr="006523CF">
              <w:rPr>
                <w:rFonts w:hint="eastAsia"/>
              </w:rPr>
              <w:t>收购小田急电铁株式会社部分业务案</w:t>
            </w:r>
          </w:p>
        </w:tc>
      </w:tr>
      <w:tr w:rsidR="00946093" w:rsidRPr="006523CF" w14:paraId="4703E527" w14:textId="77777777" w:rsidTr="00185356">
        <w:trPr>
          <w:trHeight w:val="139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31F6D" w14:textId="77777777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bCs/>
                <w:color w:val="000000"/>
              </w:rPr>
              <w:t>交易概况（限</w:t>
            </w:r>
            <w:r w:rsidRPr="006523CF">
              <w:rPr>
                <w:rFonts w:cs="Times New Roman"/>
                <w:bCs/>
                <w:color w:val="000000"/>
              </w:rPr>
              <w:t>200</w:t>
            </w:r>
            <w:r w:rsidRPr="006523CF">
              <w:rPr>
                <w:rFonts w:cs="Times New Roman"/>
                <w:bCs/>
                <w:color w:val="000000"/>
              </w:rPr>
              <w:t>字内）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E7D2" w14:textId="5F58E648" w:rsidR="008F57B9" w:rsidRPr="006523CF" w:rsidRDefault="008F57B9" w:rsidP="008F57B9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6523CF">
              <w:t>2023</w:t>
            </w:r>
            <w:r w:rsidRPr="006523CF">
              <w:rPr>
                <w:rFonts w:hint="eastAsia"/>
              </w:rPr>
              <w:t>年</w:t>
            </w:r>
            <w:r w:rsidRPr="006523CF">
              <w:rPr>
                <w:rFonts w:hint="eastAsia"/>
              </w:rPr>
              <w:t>3</w:t>
            </w:r>
            <w:r w:rsidRPr="006523CF">
              <w:rPr>
                <w:rFonts w:hint="eastAsia"/>
              </w:rPr>
              <w:t>月</w:t>
            </w:r>
            <w:r w:rsidRPr="006523CF">
              <w:rPr>
                <w:rFonts w:hint="eastAsia"/>
              </w:rPr>
              <w:t>2</w:t>
            </w:r>
            <w:r w:rsidRPr="006523CF">
              <w:t>4</w:t>
            </w:r>
            <w:r w:rsidRPr="006523CF">
              <w:rPr>
                <w:rFonts w:hint="eastAsia"/>
              </w:rPr>
              <w:t>日，</w:t>
            </w:r>
            <w:r w:rsidRPr="006523CF">
              <w:rPr>
                <w:rFonts w:hint="eastAsia"/>
              </w:rPr>
              <w:t>KKR</w:t>
            </w:r>
            <w:r w:rsidRPr="006523CF">
              <w:rPr>
                <w:rFonts w:hint="eastAsia"/>
              </w:rPr>
              <w:t>公司（</w:t>
            </w:r>
            <w:r w:rsidR="006523CF" w:rsidRPr="006523CF">
              <w:rPr>
                <w:rFonts w:hint="eastAsia"/>
              </w:rPr>
              <w:t>“</w:t>
            </w:r>
            <w:r w:rsidR="006523CF" w:rsidRPr="006523CF">
              <w:rPr>
                <w:rFonts w:hint="eastAsia"/>
                <w:b/>
                <w:bCs/>
              </w:rPr>
              <w:t>K</w:t>
            </w:r>
            <w:r w:rsidR="006523CF" w:rsidRPr="006523CF">
              <w:rPr>
                <w:b/>
                <w:bCs/>
              </w:rPr>
              <w:t>KR</w:t>
            </w:r>
            <w:r w:rsidR="006523CF">
              <w:rPr>
                <w:rFonts w:hint="eastAsia"/>
                <w:b/>
                <w:bCs/>
              </w:rPr>
              <w:t>公司</w:t>
            </w:r>
            <w:r w:rsidR="006523CF" w:rsidRPr="006523CF">
              <w:rPr>
                <w:rFonts w:hint="eastAsia"/>
              </w:rPr>
              <w:t>”</w:t>
            </w:r>
            <w:r w:rsidR="006523CF">
              <w:rPr>
                <w:rFonts w:hint="eastAsia"/>
              </w:rPr>
              <w:t>，与其子公司合称</w:t>
            </w:r>
            <w:r w:rsidRPr="006523CF">
              <w:rPr>
                <w:rFonts w:hint="eastAsia"/>
              </w:rPr>
              <w:t>“</w:t>
            </w:r>
            <w:r w:rsidRPr="006523CF">
              <w:rPr>
                <w:rFonts w:hint="eastAsia"/>
                <w:b/>
                <w:bCs/>
              </w:rPr>
              <w:t>K</w:t>
            </w:r>
            <w:r w:rsidRPr="006523CF">
              <w:rPr>
                <w:b/>
                <w:bCs/>
              </w:rPr>
              <w:t>KR</w:t>
            </w:r>
            <w:r w:rsidRPr="006523CF">
              <w:rPr>
                <w:rFonts w:hint="eastAsia"/>
              </w:rPr>
              <w:t>”）和</w:t>
            </w:r>
            <w:r w:rsidR="004B50D9" w:rsidRPr="006523CF">
              <w:t>Gateway Real Estate Fund VII (Singapore), LP.</w:t>
            </w:r>
            <w:r w:rsidRPr="006523CF">
              <w:rPr>
                <w:rFonts w:hint="eastAsia"/>
              </w:rPr>
              <w:t>（“</w:t>
            </w:r>
            <w:r w:rsidR="004B50D9" w:rsidRPr="006523CF">
              <w:rPr>
                <w:rFonts w:hint="eastAsia"/>
                <w:b/>
                <w:bCs/>
              </w:rPr>
              <w:t>GREF</w:t>
            </w:r>
            <w:r w:rsidRPr="006523CF">
              <w:rPr>
                <w:rFonts w:hint="eastAsia"/>
              </w:rPr>
              <w:t>”）通过派乐特捷威</w:t>
            </w:r>
            <w:r w:rsidR="0020203F" w:rsidRPr="006523CF">
              <w:rPr>
                <w:rFonts w:hint="eastAsia"/>
              </w:rPr>
              <w:t>私人有限公司</w:t>
            </w:r>
            <w:r w:rsidRPr="006523CF">
              <w:rPr>
                <w:rFonts w:hint="eastAsia"/>
              </w:rPr>
              <w:t>（“</w:t>
            </w:r>
            <w:r w:rsidRPr="006523CF">
              <w:rPr>
                <w:rFonts w:hint="eastAsia"/>
                <w:b/>
                <w:bCs/>
              </w:rPr>
              <w:t>派乐特捷威</w:t>
            </w:r>
            <w:r w:rsidRPr="006523CF">
              <w:rPr>
                <w:rFonts w:hint="eastAsia"/>
              </w:rPr>
              <w:t>”）及其子公司派乐特控股</w:t>
            </w:r>
            <w:r w:rsidRPr="006523CF">
              <w:rPr>
                <w:rFonts w:hint="eastAsia"/>
              </w:rPr>
              <w:t>1</w:t>
            </w:r>
            <w:r w:rsidRPr="006523CF">
              <w:rPr>
                <w:rFonts w:hint="eastAsia"/>
              </w:rPr>
              <w:t>私人有限公司和中央公园</w:t>
            </w:r>
            <w:r w:rsidR="00C1039A" w:rsidRPr="006523CF">
              <w:rPr>
                <w:rFonts w:hint="eastAsia"/>
              </w:rPr>
              <w:t>特定目的会社</w:t>
            </w:r>
            <w:r w:rsidRPr="006523CF">
              <w:rPr>
                <w:rFonts w:hint="eastAsia"/>
              </w:rPr>
              <w:t>，与小田急电铁株式会社（“</w:t>
            </w:r>
            <w:r w:rsidRPr="006523CF">
              <w:rPr>
                <w:rFonts w:hint="eastAsia"/>
                <w:b/>
                <w:bCs/>
              </w:rPr>
              <w:t>小田急</w:t>
            </w:r>
            <w:r w:rsidRPr="006523CF">
              <w:rPr>
                <w:rFonts w:hint="eastAsia"/>
              </w:rPr>
              <w:t>”）签署了《购买和出售协议》以及《股权购买协议》，</w:t>
            </w:r>
            <w:r w:rsidR="002765E0" w:rsidRPr="006523CF">
              <w:rPr>
                <w:rFonts w:hint="eastAsia"/>
              </w:rPr>
              <w:t>间接</w:t>
            </w:r>
            <w:r w:rsidRPr="006523CF">
              <w:rPr>
                <w:rFonts w:hint="eastAsia"/>
              </w:rPr>
              <w:t>收购了</w:t>
            </w:r>
            <w:r w:rsidR="007918C4">
              <w:rPr>
                <w:rFonts w:hint="eastAsia"/>
              </w:rPr>
              <w:t>对</w:t>
            </w:r>
            <w:r w:rsidR="008D593A" w:rsidRPr="006523CF">
              <w:rPr>
                <w:rFonts w:hint="eastAsia"/>
              </w:rPr>
              <w:t>一家位于日本</w:t>
            </w:r>
            <w:r w:rsidRPr="006523CF">
              <w:rPr>
                <w:rFonts w:hint="eastAsia"/>
              </w:rPr>
              <w:t>的酒店所用建筑物和土地</w:t>
            </w:r>
            <w:r w:rsidRPr="006523CF">
              <w:t>100%</w:t>
            </w:r>
            <w:r w:rsidRPr="006523CF">
              <w:rPr>
                <w:rFonts w:hint="eastAsia"/>
              </w:rPr>
              <w:t>的信托受益权</w:t>
            </w:r>
            <w:r w:rsidR="008D593A" w:rsidRPr="006523CF">
              <w:rPr>
                <w:rFonts w:hint="eastAsia"/>
              </w:rPr>
              <w:t>，以及</w:t>
            </w:r>
            <w:r w:rsidRPr="006523CF">
              <w:rPr>
                <w:rFonts w:hint="eastAsia"/>
              </w:rPr>
              <w:t>小田急酒店</w:t>
            </w:r>
            <w:r w:rsidR="00A41374" w:rsidRPr="006523CF">
              <w:rPr>
                <w:rFonts w:hint="eastAsia"/>
              </w:rPr>
              <w:t>有限公司</w:t>
            </w:r>
            <w:r w:rsidRPr="006523CF">
              <w:rPr>
                <w:rFonts w:hint="eastAsia"/>
              </w:rPr>
              <w:t>的全部</w:t>
            </w:r>
            <w:r w:rsidR="004B2473" w:rsidRPr="006523CF">
              <w:rPr>
                <w:rFonts w:hint="eastAsia"/>
              </w:rPr>
              <w:t>股权</w:t>
            </w:r>
            <w:r w:rsidRPr="006523CF">
              <w:rPr>
                <w:rFonts w:hint="eastAsia"/>
              </w:rPr>
              <w:t>（</w:t>
            </w:r>
            <w:r w:rsidR="008D593A" w:rsidRPr="006523CF">
              <w:rPr>
                <w:rFonts w:hint="eastAsia"/>
              </w:rPr>
              <w:t>合称“</w:t>
            </w:r>
            <w:r w:rsidR="008D593A" w:rsidRPr="006523CF">
              <w:rPr>
                <w:rFonts w:hint="eastAsia"/>
                <w:b/>
                <w:bCs/>
              </w:rPr>
              <w:t>目标业务</w:t>
            </w:r>
            <w:r w:rsidR="008D593A" w:rsidRPr="006523CF">
              <w:rPr>
                <w:rFonts w:hint="eastAsia"/>
              </w:rPr>
              <w:t>”</w:t>
            </w:r>
            <w:r w:rsidRPr="006523CF">
              <w:rPr>
                <w:rFonts w:hint="eastAsia"/>
              </w:rPr>
              <w:t>）</w:t>
            </w:r>
            <w:r w:rsidR="007918C4">
              <w:rPr>
                <w:rFonts w:hint="eastAsia"/>
              </w:rPr>
              <w:t>的控制权</w:t>
            </w:r>
            <w:r w:rsidRPr="006523CF">
              <w:rPr>
                <w:rFonts w:hint="eastAsia"/>
              </w:rPr>
              <w:t>。</w:t>
            </w:r>
            <w:r w:rsidR="008D593A" w:rsidRPr="006523CF">
              <w:rPr>
                <w:rFonts w:hint="eastAsia"/>
              </w:rPr>
              <w:t>目标业务仅在日本的酒店住宿服务领域开展业务。</w:t>
            </w:r>
          </w:p>
          <w:p w14:paraId="78C8B63B" w14:textId="6CD7780C" w:rsidR="008F57B9" w:rsidRPr="006523CF" w:rsidRDefault="008F57B9" w:rsidP="008F57B9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6523CF">
              <w:rPr>
                <w:rFonts w:hint="eastAsia"/>
              </w:rPr>
              <w:t>交易前，目标业务由小田急持有且单独控制。交易后，</w:t>
            </w:r>
            <w:r w:rsidR="006523CF" w:rsidRPr="006523CF">
              <w:rPr>
                <w:rFonts w:hint="eastAsia"/>
              </w:rPr>
              <w:t>由</w:t>
            </w:r>
            <w:r w:rsidR="006523CF" w:rsidRPr="006523CF">
              <w:rPr>
                <w:rFonts w:hint="eastAsia"/>
              </w:rPr>
              <w:t>KKR</w:t>
            </w:r>
            <w:r w:rsidR="006523CF" w:rsidRPr="006523CF">
              <w:rPr>
                <w:rFonts w:hint="eastAsia"/>
              </w:rPr>
              <w:t>提供咨询和管理的投资基金、公司和</w:t>
            </w:r>
            <w:r w:rsidR="006523CF" w:rsidRPr="006523CF">
              <w:rPr>
                <w:rFonts w:hint="eastAsia"/>
              </w:rPr>
              <w:t>/</w:t>
            </w:r>
            <w:r w:rsidR="006523CF" w:rsidRPr="006523CF">
              <w:rPr>
                <w:rFonts w:hint="eastAsia"/>
              </w:rPr>
              <w:t>或账户</w:t>
            </w:r>
            <w:r w:rsidR="008D593A" w:rsidRPr="006523CF">
              <w:rPr>
                <w:rFonts w:hint="eastAsia"/>
              </w:rPr>
              <w:t>和</w:t>
            </w:r>
            <w:r w:rsidR="002765E0" w:rsidRPr="006523CF">
              <w:rPr>
                <w:rFonts w:hint="eastAsia"/>
              </w:rPr>
              <w:t>GREF</w:t>
            </w:r>
            <w:r w:rsidR="00CD5518" w:rsidRPr="006523CF">
              <w:rPr>
                <w:rFonts w:hint="eastAsia"/>
              </w:rPr>
              <w:t>将</w:t>
            </w:r>
            <w:r w:rsidR="008D593A" w:rsidRPr="006523CF">
              <w:rPr>
                <w:rFonts w:hint="eastAsia"/>
              </w:rPr>
              <w:t>分别间接持有</w:t>
            </w:r>
            <w:r w:rsidR="00A83463" w:rsidRPr="006523CF">
              <w:rPr>
                <w:rFonts w:hint="eastAsia"/>
              </w:rPr>
              <w:t>派乐特捷威</w:t>
            </w:r>
            <w:r w:rsidR="008D593A" w:rsidRPr="006523CF">
              <w:rPr>
                <w:rFonts w:hint="eastAsia"/>
              </w:rPr>
              <w:t>60.9%</w:t>
            </w:r>
            <w:r w:rsidR="008D593A" w:rsidRPr="006523CF">
              <w:rPr>
                <w:rFonts w:hint="eastAsia"/>
              </w:rPr>
              <w:t>和</w:t>
            </w:r>
            <w:r w:rsidR="008D593A" w:rsidRPr="006523CF">
              <w:rPr>
                <w:rFonts w:hint="eastAsia"/>
              </w:rPr>
              <w:t>39.1%</w:t>
            </w:r>
            <w:r w:rsidR="008D593A" w:rsidRPr="006523CF">
              <w:rPr>
                <w:rFonts w:hint="eastAsia"/>
              </w:rPr>
              <w:t>的权</w:t>
            </w:r>
            <w:r w:rsidR="002765E0" w:rsidRPr="006523CF">
              <w:rPr>
                <w:rFonts w:hint="eastAsia"/>
              </w:rPr>
              <w:t>益</w:t>
            </w:r>
            <w:r w:rsidR="008D593A" w:rsidRPr="006523CF">
              <w:rPr>
                <w:rFonts w:hint="eastAsia"/>
              </w:rPr>
              <w:t>，</w:t>
            </w:r>
            <w:r w:rsidR="006523CF">
              <w:rPr>
                <w:rFonts w:hint="eastAsia"/>
              </w:rPr>
              <w:t>K</w:t>
            </w:r>
            <w:r w:rsidR="006523CF">
              <w:t>KR</w:t>
            </w:r>
            <w:r w:rsidR="006523CF">
              <w:rPr>
                <w:rFonts w:hint="eastAsia"/>
              </w:rPr>
              <w:t>和</w:t>
            </w:r>
            <w:r w:rsidR="006523CF">
              <w:rPr>
                <w:rFonts w:hint="eastAsia"/>
              </w:rPr>
              <w:t>G</w:t>
            </w:r>
            <w:r w:rsidR="006523CF">
              <w:t>REF</w:t>
            </w:r>
            <w:r w:rsidR="00400304" w:rsidRPr="006523CF">
              <w:rPr>
                <w:rFonts w:hint="eastAsia"/>
              </w:rPr>
              <w:t>将</w:t>
            </w:r>
            <w:r w:rsidRPr="006523CF">
              <w:rPr>
                <w:rFonts w:hint="eastAsia"/>
              </w:rPr>
              <w:t>间接共同控制</w:t>
            </w:r>
            <w:r w:rsidR="008D593A" w:rsidRPr="006523CF">
              <w:rPr>
                <w:rFonts w:hint="eastAsia"/>
              </w:rPr>
              <w:t>目标业务</w:t>
            </w:r>
            <w:r w:rsidRPr="006523CF">
              <w:rPr>
                <w:rFonts w:hint="eastAsia"/>
              </w:rPr>
              <w:t>。</w:t>
            </w:r>
          </w:p>
        </w:tc>
      </w:tr>
      <w:tr w:rsidR="008F57B9" w:rsidRPr="006523CF" w14:paraId="5CE0ECE2" w14:textId="77777777" w:rsidTr="00AD0308">
        <w:trPr>
          <w:trHeight w:val="94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ADC69" w14:textId="77777777" w:rsidR="008F57B9" w:rsidRPr="006523CF" w:rsidRDefault="008F57B9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bCs/>
                <w:color w:val="000000"/>
              </w:rPr>
              <w:t>参与集中的经营者简介（每个限</w:t>
            </w:r>
            <w:r w:rsidRPr="006523CF">
              <w:rPr>
                <w:rFonts w:cs="Times New Roman"/>
                <w:bCs/>
                <w:color w:val="000000"/>
              </w:rPr>
              <w:t>100</w:t>
            </w:r>
            <w:r w:rsidRPr="006523CF">
              <w:rPr>
                <w:rFonts w:cs="Times New Roman"/>
                <w:bCs/>
                <w:color w:val="000000"/>
              </w:rPr>
              <w:t>字以内）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0C8" w14:textId="1CD02996" w:rsidR="008F57B9" w:rsidRPr="006523CF" w:rsidRDefault="008F57B9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 w:hint="eastAsia"/>
                <w:color w:val="000000" w:themeColor="text1"/>
              </w:rPr>
              <w:t>KKR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EB72" w14:textId="21254D7C" w:rsidR="008F57B9" w:rsidRPr="006523CF" w:rsidRDefault="008F57B9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color w:val="000000" w:themeColor="text1"/>
              </w:rPr>
            </w:pPr>
            <w:r w:rsidRPr="006523CF">
              <w:rPr>
                <w:color w:val="000000" w:themeColor="text1"/>
              </w:rPr>
              <w:t>KKR</w:t>
            </w:r>
            <w:r w:rsidR="00676B35">
              <w:rPr>
                <w:rFonts w:hint="eastAsia"/>
                <w:color w:val="000000" w:themeColor="text1"/>
              </w:rPr>
              <w:t>公司</w:t>
            </w:r>
            <w:r w:rsidR="008D593A" w:rsidRPr="006523CF">
              <w:rPr>
                <w:rFonts w:hint="eastAsia"/>
                <w:color w:val="000000" w:themeColor="text1"/>
              </w:rPr>
              <w:t>于</w:t>
            </w:r>
            <w:r w:rsidR="008D593A" w:rsidRPr="006523CF">
              <w:rPr>
                <w:rFonts w:hint="eastAsia"/>
                <w:color w:val="000000" w:themeColor="text1"/>
              </w:rPr>
              <w:t>2</w:t>
            </w:r>
            <w:r w:rsidR="008D593A" w:rsidRPr="006523CF">
              <w:rPr>
                <w:color w:val="000000" w:themeColor="text1"/>
              </w:rPr>
              <w:t>018</w:t>
            </w:r>
            <w:r w:rsidR="008D593A" w:rsidRPr="006523CF">
              <w:rPr>
                <w:rFonts w:hint="eastAsia"/>
                <w:color w:val="000000" w:themeColor="text1"/>
              </w:rPr>
              <w:t>年</w:t>
            </w:r>
            <w:r w:rsidR="008D593A" w:rsidRPr="006523CF">
              <w:rPr>
                <w:rFonts w:hint="eastAsia"/>
                <w:color w:val="000000" w:themeColor="text1"/>
              </w:rPr>
              <w:t>7</w:t>
            </w:r>
            <w:r w:rsidR="008D593A" w:rsidRPr="006523CF">
              <w:rPr>
                <w:rFonts w:hint="eastAsia"/>
                <w:color w:val="000000" w:themeColor="text1"/>
              </w:rPr>
              <w:t>月</w:t>
            </w:r>
            <w:r w:rsidR="008D593A" w:rsidRPr="006523CF">
              <w:rPr>
                <w:rFonts w:hint="eastAsia"/>
                <w:color w:val="000000" w:themeColor="text1"/>
              </w:rPr>
              <w:t>1</w:t>
            </w:r>
            <w:r w:rsidR="008D593A" w:rsidRPr="006523CF">
              <w:rPr>
                <w:rFonts w:hint="eastAsia"/>
                <w:color w:val="000000" w:themeColor="text1"/>
              </w:rPr>
              <w:t>日在美国成立，并在纽约证券交易所上市。</w:t>
            </w:r>
            <w:r w:rsidR="008D593A" w:rsidRPr="006523CF">
              <w:rPr>
                <w:rFonts w:hint="eastAsia"/>
                <w:color w:val="000000" w:themeColor="text1"/>
              </w:rPr>
              <w:t>K</w:t>
            </w:r>
            <w:r w:rsidR="008D593A" w:rsidRPr="006523CF">
              <w:rPr>
                <w:color w:val="000000" w:themeColor="text1"/>
              </w:rPr>
              <w:t>KR</w:t>
            </w:r>
            <w:r w:rsidRPr="006523CF">
              <w:rPr>
                <w:color w:val="000000" w:themeColor="text1"/>
              </w:rPr>
              <w:t>是</w:t>
            </w:r>
            <w:r w:rsidRPr="006523CF">
              <w:rPr>
                <w:rFonts w:hint="eastAsia"/>
                <w:color w:val="000000" w:themeColor="text1"/>
              </w:rPr>
              <w:t>一家全球投资公司，提供另类资产管理、资本市场和保险解决方案</w:t>
            </w:r>
            <w:r w:rsidRPr="006523CF">
              <w:rPr>
                <w:color w:val="000000" w:themeColor="text1"/>
              </w:rPr>
              <w:t>。</w:t>
            </w:r>
          </w:p>
          <w:p w14:paraId="5DA34D7F" w14:textId="50A7434D" w:rsidR="008D593A" w:rsidRPr="006523CF" w:rsidRDefault="008D593A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color w:val="000000" w:themeColor="text1"/>
              </w:rPr>
            </w:pPr>
            <w:r w:rsidRPr="006523CF">
              <w:rPr>
                <w:rFonts w:hint="eastAsia"/>
                <w:color w:val="000000" w:themeColor="text1"/>
              </w:rPr>
              <w:t>K</w:t>
            </w:r>
            <w:r w:rsidRPr="006523CF">
              <w:rPr>
                <w:color w:val="000000" w:themeColor="text1"/>
              </w:rPr>
              <w:t>K</w:t>
            </w:r>
            <w:r w:rsidRPr="006523CF">
              <w:rPr>
                <w:rFonts w:hint="eastAsia"/>
                <w:color w:val="000000" w:themeColor="text1"/>
              </w:rPr>
              <w:t>R</w:t>
            </w:r>
            <w:r w:rsidRPr="006523CF">
              <w:rPr>
                <w:rFonts w:hint="eastAsia"/>
                <w:color w:val="000000" w:themeColor="text1"/>
              </w:rPr>
              <w:t>的最终控制人为</w:t>
            </w:r>
            <w:r w:rsidRPr="006523CF">
              <w:rPr>
                <w:rFonts w:hint="eastAsia"/>
                <w:color w:val="000000" w:themeColor="text1"/>
              </w:rPr>
              <w:t>K</w:t>
            </w:r>
            <w:r w:rsidRPr="006523CF">
              <w:rPr>
                <w:color w:val="000000" w:themeColor="text1"/>
              </w:rPr>
              <w:t>KR</w:t>
            </w:r>
            <w:r w:rsidRPr="006523CF">
              <w:rPr>
                <w:rFonts w:hint="eastAsia"/>
                <w:color w:val="000000" w:themeColor="text1"/>
              </w:rPr>
              <w:t>管理有限合伙</w:t>
            </w:r>
            <w:r w:rsidR="00DC3DF8" w:rsidRPr="006523CF">
              <w:rPr>
                <w:rFonts w:hint="eastAsia"/>
                <w:color w:val="000000" w:themeColor="text1"/>
              </w:rPr>
              <w:t>，是</w:t>
            </w:r>
            <w:r w:rsidRPr="006523CF">
              <w:rPr>
                <w:rFonts w:hint="eastAsia"/>
                <w:color w:val="000000" w:themeColor="text1"/>
              </w:rPr>
              <w:t>一家控股公司。</w:t>
            </w:r>
          </w:p>
        </w:tc>
      </w:tr>
      <w:tr w:rsidR="008F57B9" w:rsidRPr="006523CF" w14:paraId="423B5977" w14:textId="77777777" w:rsidTr="0020203F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C7B95" w14:textId="77777777" w:rsidR="008F57B9" w:rsidRPr="006523CF" w:rsidRDefault="008F57B9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2F2" w14:textId="3BCDD0F4" w:rsidR="008F57B9" w:rsidRPr="006523CF" w:rsidRDefault="00A41374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 w:hint="eastAsia"/>
                <w:bCs/>
                <w:color w:val="000000"/>
              </w:rPr>
              <w:t>GREF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0AB" w14:textId="68C074CF" w:rsidR="0020203F" w:rsidRPr="006523CF" w:rsidRDefault="00A41374" w:rsidP="0022508D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6523CF">
              <w:rPr>
                <w:rFonts w:hint="eastAsia"/>
              </w:rPr>
              <w:t>GREF</w:t>
            </w:r>
            <w:r w:rsidR="008D593A" w:rsidRPr="006523CF">
              <w:rPr>
                <w:rFonts w:hint="eastAsia"/>
              </w:rPr>
              <w:t>于</w:t>
            </w:r>
            <w:r w:rsidR="008D593A" w:rsidRPr="006523CF">
              <w:rPr>
                <w:rFonts w:hint="eastAsia"/>
              </w:rPr>
              <w:t>2</w:t>
            </w:r>
            <w:r w:rsidR="008D593A" w:rsidRPr="006523CF">
              <w:t>021</w:t>
            </w:r>
            <w:r w:rsidR="008D593A" w:rsidRPr="006523CF">
              <w:rPr>
                <w:rFonts w:hint="eastAsia"/>
              </w:rPr>
              <w:t>年</w:t>
            </w:r>
            <w:r w:rsidR="008D593A" w:rsidRPr="006523CF">
              <w:rPr>
                <w:rFonts w:hint="eastAsia"/>
              </w:rPr>
              <w:t>7</w:t>
            </w:r>
            <w:r w:rsidR="008D593A" w:rsidRPr="006523CF">
              <w:rPr>
                <w:rFonts w:hint="eastAsia"/>
              </w:rPr>
              <w:t>月</w:t>
            </w:r>
            <w:r w:rsidR="008D593A" w:rsidRPr="006523CF">
              <w:rPr>
                <w:rFonts w:hint="eastAsia"/>
              </w:rPr>
              <w:t>1</w:t>
            </w:r>
            <w:r w:rsidR="008D593A" w:rsidRPr="006523CF">
              <w:t>4</w:t>
            </w:r>
            <w:r w:rsidR="008D593A" w:rsidRPr="006523CF">
              <w:rPr>
                <w:rFonts w:hint="eastAsia"/>
              </w:rPr>
              <w:t>日在新加坡成立。</w:t>
            </w:r>
            <w:r w:rsidRPr="006523CF">
              <w:rPr>
                <w:rFonts w:hint="eastAsia"/>
              </w:rPr>
              <w:t>GREF</w:t>
            </w:r>
            <w:r w:rsidR="008D593A" w:rsidRPr="006523CF">
              <w:rPr>
                <w:rFonts w:hint="eastAsia"/>
              </w:rPr>
              <w:t>在亚太地区投资房地产及房地产相关商机，并以大中华地区、日本、韩国、澳大利亚、印度和东南亚为区域重点。</w:t>
            </w:r>
          </w:p>
          <w:p w14:paraId="61BD9CF5" w14:textId="63C24426" w:rsidR="008F57B9" w:rsidRPr="006523CF" w:rsidRDefault="00A41374" w:rsidP="003C54A5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6523CF">
              <w:rPr>
                <w:rFonts w:hint="eastAsia"/>
                <w:bCs/>
                <w:color w:val="000000"/>
              </w:rPr>
              <w:t>GREF</w:t>
            </w:r>
            <w:r w:rsidR="0020203F" w:rsidRPr="006523CF">
              <w:rPr>
                <w:rFonts w:hint="eastAsia"/>
                <w:bCs/>
                <w:color w:val="000000"/>
              </w:rPr>
              <w:t>的最终控制人为自然人，其主要通过一家</w:t>
            </w:r>
            <w:r w:rsidR="00D6605C" w:rsidRPr="006523CF">
              <w:rPr>
                <w:rFonts w:hint="eastAsia"/>
                <w:bCs/>
                <w:color w:val="000000"/>
              </w:rPr>
              <w:t>致力</w:t>
            </w:r>
            <w:r w:rsidR="0020203F" w:rsidRPr="006523CF">
              <w:rPr>
                <w:rFonts w:hint="eastAsia"/>
                <w:bCs/>
                <w:color w:val="000000"/>
              </w:rPr>
              <w:t>于全球房地产市场投资的私募</w:t>
            </w:r>
            <w:r w:rsidR="00D6605C" w:rsidRPr="006523CF">
              <w:rPr>
                <w:rFonts w:hint="eastAsia"/>
                <w:bCs/>
                <w:color w:val="000000"/>
              </w:rPr>
              <w:t>股权</w:t>
            </w:r>
            <w:r w:rsidR="0020203F" w:rsidRPr="006523CF">
              <w:rPr>
                <w:rFonts w:hint="eastAsia"/>
                <w:bCs/>
                <w:color w:val="000000"/>
              </w:rPr>
              <w:t>基金管理公司开展业务。</w:t>
            </w:r>
          </w:p>
        </w:tc>
      </w:tr>
      <w:tr w:rsidR="008F57B9" w:rsidRPr="006523CF" w14:paraId="6D9A224E" w14:textId="77777777" w:rsidTr="00AD0308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B0D" w14:textId="77777777" w:rsidR="008F57B9" w:rsidRPr="006523CF" w:rsidRDefault="008F57B9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4AA" w14:textId="7EDB859B" w:rsidR="008F57B9" w:rsidRPr="006523CF" w:rsidRDefault="008F57B9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 w:hint="eastAsia"/>
                <w:bCs/>
                <w:color w:val="000000"/>
              </w:rPr>
              <w:t>目标业务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AD" w14:textId="2F6A35A8" w:rsidR="008F57B9" w:rsidRPr="006523CF" w:rsidRDefault="0020203F" w:rsidP="0022508D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6523CF">
              <w:rPr>
                <w:rFonts w:hint="eastAsia"/>
              </w:rPr>
              <w:t>目标业务于</w:t>
            </w:r>
            <w:r w:rsidRPr="006523CF">
              <w:rPr>
                <w:rFonts w:hint="eastAsia"/>
              </w:rPr>
              <w:t>1</w:t>
            </w:r>
            <w:r w:rsidRPr="006523CF">
              <w:t>978</w:t>
            </w:r>
            <w:r w:rsidRPr="006523CF">
              <w:rPr>
                <w:rFonts w:hint="eastAsia"/>
              </w:rPr>
              <w:t>年</w:t>
            </w:r>
            <w:r w:rsidRPr="006523CF">
              <w:rPr>
                <w:rFonts w:hint="eastAsia"/>
              </w:rPr>
              <w:t>6</w:t>
            </w:r>
            <w:r w:rsidRPr="006523CF">
              <w:rPr>
                <w:rFonts w:hint="eastAsia"/>
              </w:rPr>
              <w:t>月</w:t>
            </w:r>
            <w:r w:rsidRPr="006523CF">
              <w:rPr>
                <w:rFonts w:hint="eastAsia"/>
              </w:rPr>
              <w:t>1</w:t>
            </w:r>
            <w:r w:rsidRPr="006523CF">
              <w:t>2</w:t>
            </w:r>
            <w:r w:rsidRPr="006523CF">
              <w:rPr>
                <w:rFonts w:hint="eastAsia"/>
              </w:rPr>
              <w:t>日在日本成立，包括一家位于日本的酒店所用建筑物和土地</w:t>
            </w:r>
            <w:r w:rsidRPr="006523CF">
              <w:rPr>
                <w:rFonts w:hint="eastAsia"/>
              </w:rPr>
              <w:t>100%</w:t>
            </w:r>
            <w:r w:rsidRPr="006523CF">
              <w:rPr>
                <w:rFonts w:hint="eastAsia"/>
              </w:rPr>
              <w:t>的信托受益权，以及小田急酒店</w:t>
            </w:r>
            <w:r w:rsidR="00A41374" w:rsidRPr="006523CF">
              <w:rPr>
                <w:rFonts w:hint="eastAsia"/>
              </w:rPr>
              <w:t>有限公司</w:t>
            </w:r>
            <w:r w:rsidRPr="006523CF">
              <w:rPr>
                <w:rFonts w:hint="eastAsia"/>
              </w:rPr>
              <w:t>的全部</w:t>
            </w:r>
            <w:r w:rsidR="004B2473" w:rsidRPr="006523CF">
              <w:rPr>
                <w:rFonts w:hint="eastAsia"/>
              </w:rPr>
              <w:t>股权</w:t>
            </w:r>
            <w:r w:rsidRPr="006523CF">
              <w:rPr>
                <w:rFonts w:hint="eastAsia"/>
              </w:rPr>
              <w:t>。目标业务仅在日本的酒店住宿服务领域开展业务。</w:t>
            </w:r>
          </w:p>
          <w:p w14:paraId="587A79A9" w14:textId="09ECCBDF" w:rsidR="0020203F" w:rsidRPr="006523CF" w:rsidRDefault="0020203F" w:rsidP="0022508D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6523CF">
              <w:rPr>
                <w:rFonts w:hint="eastAsia"/>
              </w:rPr>
              <w:t>目标业务的最终控制人为小田急，其在日本的私营铁路领域开展业务。</w:t>
            </w:r>
          </w:p>
        </w:tc>
      </w:tr>
      <w:tr w:rsidR="00946093" w:rsidRPr="006523CF" w14:paraId="1AC5D95A" w14:textId="77777777" w:rsidTr="00185356">
        <w:trPr>
          <w:trHeight w:val="279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0ABC" w14:textId="77777777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CB4" w14:textId="1823F616" w:rsidR="00946093" w:rsidRPr="006523CF" w:rsidRDefault="000779D4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F0A8"/>
            </w:r>
            <w:r w:rsidR="00946093" w:rsidRPr="006523CF">
              <w:rPr>
                <w:rFonts w:cs="Times New Roman"/>
                <w:lang w:val="en-GB"/>
              </w:rPr>
              <w:t xml:space="preserve"> </w:t>
            </w:r>
            <w:r w:rsidR="00946093" w:rsidRPr="006523CF">
              <w:rPr>
                <w:rFonts w:cs="Times New Roman"/>
                <w:bCs/>
                <w:color w:val="000000"/>
              </w:rPr>
              <w:t>1</w:t>
            </w:r>
            <w:r w:rsidR="00946093" w:rsidRPr="006523CF">
              <w:rPr>
                <w:rFonts w:cs="Times New Roman"/>
                <w:bCs/>
                <w:color w:val="000000"/>
              </w:rPr>
              <w:t>、在同一相关市场，所有参与集中的经营者所占市场份额之和小于</w:t>
            </w:r>
            <w:r w:rsidR="00946093" w:rsidRPr="006523CF">
              <w:rPr>
                <w:rFonts w:cs="Times New Roman"/>
                <w:bCs/>
                <w:color w:val="000000"/>
              </w:rPr>
              <w:t>15%</w:t>
            </w:r>
            <w:r w:rsidR="00946093" w:rsidRPr="006523CF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6523CF" w14:paraId="2D86848C" w14:textId="77777777" w:rsidTr="0018535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1DF" w14:textId="77777777" w:rsidR="00946093" w:rsidRPr="006523CF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920" w14:textId="2DF56BCB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F0A8"/>
            </w:r>
            <w:r w:rsidRPr="006523CF">
              <w:rPr>
                <w:rFonts w:cs="Times New Roman"/>
                <w:lang w:val="en-GB"/>
              </w:rPr>
              <w:t xml:space="preserve"> </w:t>
            </w:r>
            <w:r w:rsidRPr="006523CF">
              <w:rPr>
                <w:rFonts w:cs="Times New Roman"/>
                <w:bCs/>
                <w:color w:val="000000"/>
              </w:rPr>
              <w:t>2</w:t>
            </w:r>
            <w:r w:rsidRPr="006523CF">
              <w:rPr>
                <w:rFonts w:cs="Times New Roman"/>
                <w:bCs/>
                <w:color w:val="000000"/>
              </w:rPr>
              <w:t>、存在上下游关系的参与集中的经营者，在上下游市场所占的市场份额均小于</w:t>
            </w:r>
            <w:r w:rsidRPr="006523CF">
              <w:rPr>
                <w:rFonts w:cs="Times New Roman"/>
                <w:bCs/>
                <w:color w:val="000000"/>
              </w:rPr>
              <w:t>25%</w:t>
            </w:r>
            <w:r w:rsidRPr="006523CF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6523CF" w14:paraId="058327E9" w14:textId="77777777" w:rsidTr="00185356">
        <w:trPr>
          <w:trHeight w:val="2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B31F" w14:textId="77777777" w:rsidR="00946093" w:rsidRPr="006523CF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71F3" w14:textId="7AF1AB86" w:rsidR="00946093" w:rsidRPr="006523CF" w:rsidRDefault="004138AE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F0A8"/>
            </w:r>
            <w:r w:rsidR="00946093" w:rsidRPr="006523CF">
              <w:rPr>
                <w:rFonts w:cs="Times New Roman"/>
                <w:bCs/>
                <w:color w:val="000000"/>
              </w:rPr>
              <w:t xml:space="preserve"> 3</w:t>
            </w:r>
            <w:r w:rsidR="00946093" w:rsidRPr="006523CF">
              <w:rPr>
                <w:rFonts w:cs="Times New Roman"/>
                <w:bCs/>
                <w:color w:val="000000"/>
              </w:rPr>
              <w:t>、不在同一相关市场、也不存在上下游关系的参与集中的经营者，在与交易有关的每个市场所占的份额均小于</w:t>
            </w:r>
            <w:r w:rsidR="00946093" w:rsidRPr="006523CF">
              <w:rPr>
                <w:rFonts w:cs="Times New Roman"/>
                <w:bCs/>
                <w:color w:val="000000"/>
              </w:rPr>
              <w:t>25%</w:t>
            </w:r>
            <w:r w:rsidR="00946093" w:rsidRPr="006523CF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6523CF" w14:paraId="3A550DFD" w14:textId="77777777" w:rsidTr="00185356">
        <w:trPr>
          <w:trHeight w:val="8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4B4" w14:textId="77777777" w:rsidR="00946093" w:rsidRPr="006523CF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A8F" w14:textId="32995B45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F0A8"/>
            </w:r>
            <w:r w:rsidRPr="006523CF">
              <w:rPr>
                <w:rFonts w:cs="Times New Roman"/>
                <w:bCs/>
                <w:color w:val="000000"/>
              </w:rPr>
              <w:t xml:space="preserve"> 4</w:t>
            </w:r>
            <w:r w:rsidRPr="006523CF">
              <w:rPr>
                <w:rFonts w:cs="Times New Roman"/>
                <w:bCs/>
                <w:color w:val="000000"/>
              </w:rPr>
              <w:t>、参与集中的经营者在中国境外设立合营企业，合营企业不在中国境内从事经济活动。</w:t>
            </w:r>
          </w:p>
        </w:tc>
      </w:tr>
      <w:tr w:rsidR="00946093" w:rsidRPr="006523CF" w14:paraId="30E3FFBE" w14:textId="77777777" w:rsidTr="00185356">
        <w:trPr>
          <w:trHeight w:val="26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062" w14:textId="77777777" w:rsidR="00946093" w:rsidRPr="006523CF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8C3" w14:textId="36A47825" w:rsidR="00946093" w:rsidRPr="006523CF" w:rsidRDefault="000779D4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00FE"/>
            </w:r>
            <w:r w:rsidR="00946093" w:rsidRPr="006523CF">
              <w:rPr>
                <w:rFonts w:cs="Times New Roman"/>
                <w:bCs/>
                <w:color w:val="000000"/>
              </w:rPr>
              <w:t xml:space="preserve"> 5</w:t>
            </w:r>
            <w:r w:rsidR="00946093" w:rsidRPr="006523CF">
              <w:rPr>
                <w:rFonts w:cs="Times New Roman"/>
                <w:bCs/>
                <w:color w:val="000000"/>
              </w:rPr>
              <w:t>、参与集中的经营者收购境外企业股权或资产的，该境外企业不在中国境内从事经济活动。</w:t>
            </w:r>
          </w:p>
        </w:tc>
      </w:tr>
      <w:tr w:rsidR="00946093" w:rsidRPr="006523CF" w14:paraId="06DDA366" w14:textId="77777777" w:rsidTr="0018535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9C4" w14:textId="77777777" w:rsidR="00946093" w:rsidRPr="006523CF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175" w14:textId="11564400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lang w:val="en-GB"/>
              </w:rPr>
              <w:sym w:font="Wingdings" w:char="F0A8"/>
            </w:r>
            <w:r w:rsidRPr="006523CF">
              <w:rPr>
                <w:rFonts w:cs="Times New Roman"/>
                <w:bCs/>
                <w:color w:val="000000"/>
              </w:rPr>
              <w:t xml:space="preserve"> 6</w:t>
            </w:r>
            <w:r w:rsidRPr="006523CF">
              <w:rPr>
                <w:rFonts w:cs="Times New Roman"/>
                <w:bCs/>
                <w:color w:val="000000"/>
              </w:rPr>
              <w:t>、由两个以上的经营者共同控制的合营企业，通过集中被其中一个或一个以上经营者控制。</w:t>
            </w:r>
          </w:p>
        </w:tc>
      </w:tr>
      <w:tr w:rsidR="00946093" w:rsidRPr="004F3639" w14:paraId="10A69EA5" w14:textId="77777777" w:rsidTr="00185356">
        <w:trPr>
          <w:trHeight w:val="12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234E0" w14:textId="77777777" w:rsidR="00946093" w:rsidRPr="006523CF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551" w14:textId="3DA2DAAD" w:rsidR="00946093" w:rsidRPr="004F3639" w:rsidRDefault="008F57B9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6523CF">
              <w:rPr>
                <w:rFonts w:cs="Times New Roman" w:hint="eastAsia"/>
                <w:bCs/>
                <w:color w:val="000000"/>
              </w:rPr>
              <w:t>不适用</w:t>
            </w:r>
          </w:p>
        </w:tc>
      </w:tr>
    </w:tbl>
    <w:p w14:paraId="290EA2E7" w14:textId="77777777" w:rsidR="00DF301E" w:rsidRPr="009D2094" w:rsidRDefault="00DF301E"/>
    <w:sectPr w:rsidR="00DF301E" w:rsidRPr="009D20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E1FB" w14:textId="77777777" w:rsidR="008735C9" w:rsidRDefault="008735C9" w:rsidP="00FD69E4">
      <w:pPr>
        <w:spacing w:before="0" w:after="0"/>
      </w:pPr>
      <w:r>
        <w:separator/>
      </w:r>
    </w:p>
  </w:endnote>
  <w:endnote w:type="continuationSeparator" w:id="0">
    <w:p w14:paraId="6B028611" w14:textId="77777777" w:rsidR="008735C9" w:rsidRDefault="008735C9" w:rsidP="00FD6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A897" w14:textId="77777777" w:rsidR="008735C9" w:rsidRDefault="008735C9" w:rsidP="00FD69E4">
      <w:pPr>
        <w:spacing w:before="0" w:after="0"/>
      </w:pPr>
      <w:r>
        <w:separator/>
      </w:r>
    </w:p>
  </w:footnote>
  <w:footnote w:type="continuationSeparator" w:id="0">
    <w:p w14:paraId="55D01CDC" w14:textId="77777777" w:rsidR="008735C9" w:rsidRDefault="008735C9" w:rsidP="00FD69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11AC" w14:textId="7A29422C" w:rsidR="0020203F" w:rsidRPr="00E15671" w:rsidRDefault="0020203F" w:rsidP="00E15671">
    <w:pPr>
      <w:pStyle w:val="a6"/>
      <w:jc w:val="right"/>
      <w:rPr>
        <w:i/>
        <w:i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</w:docVars>
  <w:rsids>
    <w:rsidRoot w:val="00946093"/>
    <w:rsid w:val="00007DCB"/>
    <w:rsid w:val="00013540"/>
    <w:rsid w:val="000779D4"/>
    <w:rsid w:val="000F622D"/>
    <w:rsid w:val="00156A84"/>
    <w:rsid w:val="00185356"/>
    <w:rsid w:val="001C2F2F"/>
    <w:rsid w:val="001F1174"/>
    <w:rsid w:val="0020203F"/>
    <w:rsid w:val="0022508D"/>
    <w:rsid w:val="00243F0A"/>
    <w:rsid w:val="00266140"/>
    <w:rsid w:val="0027426D"/>
    <w:rsid w:val="002765E0"/>
    <w:rsid w:val="0027683C"/>
    <w:rsid w:val="002B7D10"/>
    <w:rsid w:val="002D2F0B"/>
    <w:rsid w:val="002F2EB7"/>
    <w:rsid w:val="00310937"/>
    <w:rsid w:val="00323DA9"/>
    <w:rsid w:val="0033132B"/>
    <w:rsid w:val="0037009B"/>
    <w:rsid w:val="00382857"/>
    <w:rsid w:val="003838DE"/>
    <w:rsid w:val="003A7638"/>
    <w:rsid w:val="003C54A5"/>
    <w:rsid w:val="003D1ECC"/>
    <w:rsid w:val="00400304"/>
    <w:rsid w:val="004138AE"/>
    <w:rsid w:val="0043165B"/>
    <w:rsid w:val="00440639"/>
    <w:rsid w:val="00476557"/>
    <w:rsid w:val="004778F0"/>
    <w:rsid w:val="004A1DAF"/>
    <w:rsid w:val="004B2473"/>
    <w:rsid w:val="004B50D9"/>
    <w:rsid w:val="004C620D"/>
    <w:rsid w:val="004F3639"/>
    <w:rsid w:val="00561996"/>
    <w:rsid w:val="005E7CC0"/>
    <w:rsid w:val="006523CF"/>
    <w:rsid w:val="00652FAB"/>
    <w:rsid w:val="006553DD"/>
    <w:rsid w:val="00676B35"/>
    <w:rsid w:val="00694E32"/>
    <w:rsid w:val="006E582C"/>
    <w:rsid w:val="0077069A"/>
    <w:rsid w:val="00774ACA"/>
    <w:rsid w:val="007918C4"/>
    <w:rsid w:val="007B1EB0"/>
    <w:rsid w:val="007C1899"/>
    <w:rsid w:val="007C6C97"/>
    <w:rsid w:val="007D0852"/>
    <w:rsid w:val="008346D5"/>
    <w:rsid w:val="00851257"/>
    <w:rsid w:val="00852CC5"/>
    <w:rsid w:val="008735C9"/>
    <w:rsid w:val="008749C7"/>
    <w:rsid w:val="008D593A"/>
    <w:rsid w:val="008F42A0"/>
    <w:rsid w:val="008F57B9"/>
    <w:rsid w:val="00931EFD"/>
    <w:rsid w:val="00946093"/>
    <w:rsid w:val="009D2094"/>
    <w:rsid w:val="00A41374"/>
    <w:rsid w:val="00A83463"/>
    <w:rsid w:val="00AE1160"/>
    <w:rsid w:val="00B6597C"/>
    <w:rsid w:val="00B8318D"/>
    <w:rsid w:val="00B86150"/>
    <w:rsid w:val="00BD4DBA"/>
    <w:rsid w:val="00BD7FA0"/>
    <w:rsid w:val="00BE6D9A"/>
    <w:rsid w:val="00C1039A"/>
    <w:rsid w:val="00C5548B"/>
    <w:rsid w:val="00C939CC"/>
    <w:rsid w:val="00CD5518"/>
    <w:rsid w:val="00CD7692"/>
    <w:rsid w:val="00D03B4A"/>
    <w:rsid w:val="00D10D0F"/>
    <w:rsid w:val="00D6605C"/>
    <w:rsid w:val="00DC3DF8"/>
    <w:rsid w:val="00DF301E"/>
    <w:rsid w:val="00E0602B"/>
    <w:rsid w:val="00E07228"/>
    <w:rsid w:val="00E15671"/>
    <w:rsid w:val="00E2436F"/>
    <w:rsid w:val="00E33EAB"/>
    <w:rsid w:val="00E53585"/>
    <w:rsid w:val="00EA49CC"/>
    <w:rsid w:val="00EB1C39"/>
    <w:rsid w:val="00EE1A8F"/>
    <w:rsid w:val="00F2631B"/>
    <w:rsid w:val="00F51F8E"/>
    <w:rsid w:val="00FD69E4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191C"/>
  <w15:chartTrackingRefBased/>
  <w15:docId w15:val="{506F4269-4F22-9949-B168-D77F0E7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93"/>
    <w:pPr>
      <w:spacing w:before="100" w:beforeAutospacing="1" w:after="240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6093"/>
    <w:rPr>
      <w:rFonts w:cs="Simplified Arabic"/>
    </w:rPr>
  </w:style>
  <w:style w:type="character" w:customStyle="1" w:styleId="a4">
    <w:name w:val="正文文本 字符"/>
    <w:basedOn w:val="a0"/>
    <w:link w:val="a3"/>
    <w:uiPriority w:val="99"/>
    <w:rsid w:val="00946093"/>
    <w:rPr>
      <w:rFonts w:ascii="Times New Roman" w:eastAsia="宋体" w:hAnsi="Times New Roman" w:cs="Simplified Arabic"/>
      <w:kern w:val="0"/>
      <w:sz w:val="24"/>
    </w:rPr>
  </w:style>
  <w:style w:type="paragraph" w:styleId="a5">
    <w:name w:val="Revision"/>
    <w:hidden/>
    <w:uiPriority w:val="99"/>
    <w:semiHidden/>
    <w:rsid w:val="00946093"/>
    <w:rPr>
      <w:rFonts w:ascii="Times New Roman" w:eastAsia="宋体" w:hAnsi="Times New Roman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D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C54A5"/>
    <w:pPr>
      <w:spacing w:before="0"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54A5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annotation text"/>
    <w:basedOn w:val="a"/>
    <w:link w:val="ad"/>
    <w:qFormat/>
    <w:rsid w:val="00B86150"/>
    <w:pPr>
      <w:spacing w:before="0" w:beforeAutospacing="0" w:after="0"/>
      <w:jc w:val="left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d">
    <w:name w:val="批注文字 字符"/>
    <w:basedOn w:val="a0"/>
    <w:link w:val="ac"/>
    <w:qFormat/>
    <w:rsid w:val="00B86150"/>
    <w:rPr>
      <w:rFonts w:ascii="PMingLiU" w:eastAsia="PMingLiU" w:hAnsi="PMingLiU" w:cs="PMingLiU"/>
      <w:kern w:val="0"/>
      <w:sz w:val="20"/>
      <w:szCs w:val="20"/>
      <w:lang w:eastAsia="zh-TW"/>
    </w:rPr>
  </w:style>
  <w:style w:type="character" w:styleId="ae">
    <w:name w:val="annotation reference"/>
    <w:uiPriority w:val="99"/>
    <w:qFormat/>
    <w:rsid w:val="00B86150"/>
    <w:rPr>
      <w:sz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C1039A"/>
    <w:pPr>
      <w:spacing w:before="100" w:beforeAutospacing="1" w:after="240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character" w:customStyle="1" w:styleId="af0">
    <w:name w:val="批注主题 字符"/>
    <w:basedOn w:val="ad"/>
    <w:link w:val="af"/>
    <w:uiPriority w:val="99"/>
    <w:semiHidden/>
    <w:rsid w:val="00C1039A"/>
    <w:rPr>
      <w:rFonts w:ascii="Times New Roman" w:eastAsia="宋体" w:hAnsi="Times New Roman" w:cs="Times New Roman"/>
      <w:b/>
      <w:bCs/>
      <w:kern w:val="0"/>
      <w:sz w:val="24"/>
      <w:szCs w:val="20"/>
      <w:lang w:eastAsia="zh-TW"/>
    </w:rPr>
  </w:style>
  <w:style w:type="character" w:styleId="af1">
    <w:name w:val="Hyperlink"/>
    <w:basedOn w:val="a0"/>
    <w:uiPriority w:val="99"/>
    <w:unhideWhenUsed/>
    <w:rsid w:val="00C1039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1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25037-CCD7-D841-81CC-E8BE9C6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Sunland</dc:creator>
  <cp:keywords/>
  <dc:description/>
  <cp:lastModifiedBy>Sunland</cp:lastModifiedBy>
  <cp:revision>3</cp:revision>
  <dcterms:created xsi:type="dcterms:W3CDTF">2023-04-23T08:33:00Z</dcterms:created>
  <dcterms:modified xsi:type="dcterms:W3CDTF">2023-04-23T08:33:00Z</dcterms:modified>
</cp:coreProperties>
</file>