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sz w:val="36"/>
          <w:szCs w:val="36"/>
        </w:rPr>
      </w:pPr>
      <w:bookmarkStart w:id="1" w:name="_GoBack"/>
      <w:r>
        <w:rPr>
          <w:rFonts w:hint="eastAsia" w:ascii="黑体" w:hAnsi="黑体" w:eastAsia="黑体" w:cs="黑体"/>
          <w:bCs/>
          <w:sz w:val="36"/>
          <w:szCs w:val="36"/>
        </w:rPr>
        <w:t>经营者集中简易案件公示表</w:t>
      </w:r>
    </w:p>
    <w:bookmarkEnd w:id="1"/>
    <w:tbl>
      <w:tblPr>
        <w:tblStyle w:val="5"/>
        <w:tblW w:w="964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940" w:type="dxa"/>
            <w:shd w:val="clear" w:color="auto" w:fill="D9D9D9"/>
            <w:noWrap w:val="0"/>
            <w:vAlign w:val="center"/>
          </w:tcPr>
          <w:p>
            <w:pPr>
              <w:pStyle w:val="3"/>
              <w:adjustRightInd w:val="0"/>
              <w:snapToGrid w:val="0"/>
              <w:spacing w:after="0"/>
              <w:rPr>
                <w:rFonts w:hint="eastAsia" w:ascii="宋体" w:hAnsi="宋体" w:cs="宋体"/>
                <w:bCs/>
                <w:color w:val="000000"/>
                <w:lang w:val="en-US"/>
              </w:rPr>
            </w:pPr>
            <w:r>
              <w:rPr>
                <w:rFonts w:hint="eastAsia" w:ascii="宋体" w:hAnsi="宋体" w:cs="宋体"/>
                <w:bCs/>
                <w:color w:val="000000"/>
              </w:rPr>
              <w:t>案件名称</w:t>
            </w:r>
          </w:p>
        </w:tc>
        <w:tc>
          <w:tcPr>
            <w:tcW w:w="7700" w:type="dxa"/>
            <w:gridSpan w:val="2"/>
            <w:noWrap w:val="0"/>
            <w:vAlign w:val="center"/>
          </w:tcPr>
          <w:p>
            <w:pPr>
              <w:adjustRightInd w:val="0"/>
              <w:snapToGrid w:val="0"/>
              <w:spacing w:after="0"/>
              <w:rPr>
                <w:rFonts w:hint="eastAsia" w:ascii="宋体" w:hAnsi="宋体" w:cs="宋体"/>
                <w:bCs/>
                <w:color w:val="000000"/>
                <w:lang w:val="en-US"/>
              </w:rPr>
            </w:pPr>
            <w:r>
              <w:rPr>
                <w:rFonts w:ascii="宋体" w:hAnsi="宋体" w:cs="宋体"/>
                <w:bCs/>
                <w:color w:val="000000"/>
                <w:lang w:val="en-US"/>
              </w:rPr>
              <w:t>珠海格力金融投资管理有限公司收购江门市科恒实业股份有限公司股权案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1940" w:type="dxa"/>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t>交易概况（限200字内）</w:t>
            </w:r>
          </w:p>
        </w:tc>
        <w:tc>
          <w:tcPr>
            <w:tcW w:w="7700" w:type="dxa"/>
            <w:gridSpan w:val="2"/>
            <w:noWrap w:val="0"/>
            <w:vAlign w:val="center"/>
          </w:tcPr>
          <w:p>
            <w:pPr>
              <w:adjustRightInd w:val="0"/>
              <w:snapToGrid w:val="0"/>
              <w:spacing w:after="0"/>
              <w:rPr>
                <w:rFonts w:hint="eastAsia"/>
              </w:rPr>
            </w:pPr>
            <w:r>
              <w:rPr>
                <w:rFonts w:ascii="宋体" w:hAnsi="宋体" w:cs="宋体"/>
                <w:bCs/>
                <w:color w:val="000000"/>
                <w:lang w:val="en-US"/>
              </w:rPr>
              <w:t>珠海格力金融投资管理有限公司（“</w:t>
            </w:r>
            <w:r>
              <w:rPr>
                <w:rFonts w:ascii="Times New Roman" w:hAnsi="Times New Roman" w:cs="Times New Roman"/>
                <w:b/>
                <w:bCs/>
                <w:lang w:val="en-US"/>
              </w:rPr>
              <w:t>格力金投</w:t>
            </w:r>
            <w:r>
              <w:rPr>
                <w:rFonts w:ascii="Times New Roman" w:hAnsi="Times New Roman" w:cs="Times New Roman"/>
                <w:bCs w:val="0"/>
                <w:lang w:val="en-US"/>
              </w:rPr>
              <w:t>”</w:t>
            </w:r>
            <w:r>
              <w:rPr>
                <w:rFonts w:ascii="宋体" w:hAnsi="宋体" w:cs="宋体"/>
                <w:bCs/>
                <w:color w:val="000000"/>
                <w:lang w:val="en-US"/>
              </w:rPr>
              <w:t>）与江门市科恒实业股份有限公司（“</w:t>
            </w:r>
            <w:r>
              <w:rPr>
                <w:rFonts w:ascii="宋体" w:hAnsi="宋体" w:cs="宋体"/>
                <w:b/>
                <w:bCs w:val="0"/>
                <w:color w:val="000000"/>
                <w:lang w:val="en-US"/>
              </w:rPr>
              <w:t>科恒股份</w:t>
            </w:r>
            <w:r>
              <w:rPr>
                <w:rFonts w:ascii="宋体" w:hAnsi="宋体" w:cs="宋体"/>
                <w:bCs/>
                <w:color w:val="000000"/>
                <w:lang w:val="en-US"/>
              </w:rPr>
              <w:t>”）签署</w:t>
            </w:r>
            <w:r>
              <w:rPr>
                <w:rFonts w:hint="eastAsia" w:ascii="宋体" w:hAnsi="宋体" w:cs="宋体"/>
                <w:bCs/>
                <w:color w:val="000000"/>
                <w:lang w:val="en-US"/>
              </w:rPr>
              <w:t>协议</w:t>
            </w:r>
            <w:r>
              <w:rPr>
                <w:rFonts w:ascii="宋体" w:hAnsi="宋体" w:cs="宋体"/>
                <w:bCs/>
                <w:color w:val="000000"/>
                <w:lang w:val="en-US"/>
              </w:rPr>
              <w:t>，格力金投拟以现金方式认购科恒股份定向发行的</w:t>
            </w:r>
            <w:r>
              <w:rPr>
                <w:rFonts w:hint="eastAsia" w:ascii="宋体" w:hAnsi="宋体" w:cs="宋体"/>
                <w:bCs/>
                <w:color w:val="000000"/>
                <w:lang w:val="en-US"/>
              </w:rPr>
              <w:t>不超过</w:t>
            </w:r>
            <w:r>
              <w:rPr>
                <w:rFonts w:ascii="宋体" w:hAnsi="宋体" w:cs="宋体"/>
                <w:bCs/>
                <w:color w:val="000000"/>
                <w:lang w:val="en-US"/>
              </w:rPr>
              <w:t>63,000,000股股票。</w:t>
            </w:r>
            <w:r>
              <w:rPr>
                <w:rFonts w:hint="eastAsia" w:ascii="宋体" w:hAnsi="宋体" w:cs="宋体"/>
                <w:bCs/>
                <w:color w:val="000000"/>
                <w:lang w:val="en-US"/>
              </w:rPr>
              <w:t>科恒股份主要业务为锂离子电池正极材料及锂离子电池自动化生产设备的生产销售等。交易前，万国江为科恒股份实际控制人，</w:t>
            </w:r>
            <w:r>
              <w:rPr>
                <w:rFonts w:ascii="宋体" w:hAnsi="宋体" w:cs="宋体"/>
                <w:bCs/>
                <w:color w:val="000000"/>
                <w:lang w:val="en-US"/>
              </w:rPr>
              <w:t>交易后，</w:t>
            </w:r>
            <w:r>
              <w:rPr>
                <w:rFonts w:hint="eastAsia" w:ascii="宋体" w:hAnsi="宋体" w:cs="宋体"/>
                <w:bCs/>
                <w:color w:val="000000"/>
                <w:lang w:val="en-US"/>
              </w:rPr>
              <w:t>格力金投将成为科恒股份的控股股东，</w:t>
            </w:r>
            <w:r>
              <w:rPr>
                <w:rFonts w:hint="eastAsia"/>
                <w:szCs w:val="21"/>
              </w:rPr>
              <w:t>珠海格力集团有限公司（“格力集团”）</w:t>
            </w:r>
            <w:r>
              <w:rPr>
                <w:rFonts w:hint="eastAsia" w:ascii="宋体" w:hAnsi="宋体" w:cs="宋体"/>
                <w:bCs/>
                <w:color w:val="000000"/>
                <w:lang w:val="en-US"/>
              </w:rPr>
              <w:t>将成为科恒股份的实际控制人。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1940" w:type="dxa"/>
            <w:vMerge w:val="restart"/>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t>参与集中的经营者简介（每个限</w:t>
            </w:r>
            <w:r>
              <w:rPr>
                <w:rFonts w:hint="eastAsia" w:ascii="宋体" w:hAnsi="宋体" w:cs="宋体"/>
                <w:bCs/>
                <w:color w:val="000000"/>
                <w:lang w:val="en-US" w:eastAsia="zh-CN"/>
              </w:rPr>
              <w:t>100字以内</w:t>
            </w:r>
            <w:r>
              <w:rPr>
                <w:rFonts w:hint="eastAsia" w:ascii="宋体" w:hAnsi="宋体" w:cs="宋体"/>
                <w:bCs/>
                <w:color w:val="000000"/>
                <w:lang w:eastAsia="zh-CN"/>
              </w:rPr>
              <w:t>）</w:t>
            </w:r>
          </w:p>
        </w:tc>
        <w:tc>
          <w:tcPr>
            <w:tcW w:w="1607" w:type="dxa"/>
            <w:noWrap w:val="0"/>
            <w:vAlign w:val="center"/>
          </w:tcPr>
          <w:p>
            <w:pPr>
              <w:pStyle w:val="3"/>
              <w:adjustRightInd w:val="0"/>
              <w:snapToGrid w:val="0"/>
              <w:spacing w:after="0"/>
              <w:rPr>
                <w:rFonts w:hint="eastAsia" w:ascii="宋体" w:hAnsi="宋体" w:cs="宋体"/>
                <w:bCs/>
                <w:color w:val="000000"/>
                <w:lang w:eastAsia="zh-CN"/>
              </w:rPr>
            </w:pPr>
            <w:r>
              <w:rPr>
                <w:rFonts w:hint="eastAsia" w:ascii="宋体" w:hAnsi="宋体" w:cs="宋体"/>
                <w:bCs/>
                <w:color w:val="000000"/>
                <w:lang w:val="en-US" w:eastAsia="zh-CN"/>
              </w:rPr>
              <w:t>1.</w:t>
            </w:r>
            <w:r>
              <w:rPr>
                <w:rFonts w:hint="eastAsia" w:ascii="宋体" w:hAnsi="宋体" w:cs="宋体"/>
                <w:bCs/>
                <w:color w:val="000000"/>
                <w:lang w:eastAsia="zh-CN"/>
              </w:rPr>
              <w:t>经营者名称</w:t>
            </w:r>
          </w:p>
        </w:tc>
        <w:tc>
          <w:tcPr>
            <w:tcW w:w="6093" w:type="dxa"/>
            <w:noWrap w:val="0"/>
            <w:vAlign w:val="center"/>
          </w:tcPr>
          <w:p>
            <w:pPr>
              <w:widowControl w:val="0"/>
              <w:adjustRightInd w:val="0"/>
              <w:snapToGrid w:val="0"/>
              <w:spacing w:after="0"/>
              <w:rPr>
                <w:rFonts w:hint="eastAsia" w:ascii="宋体" w:hAnsi="宋体" w:cs="宋体"/>
                <w:lang w:val="en-US"/>
              </w:rPr>
            </w:pPr>
            <w:r>
              <w:rPr>
                <w:rFonts w:ascii="宋体" w:hAnsi="宋体" w:cs="宋体"/>
                <w:lang w:val="en-US"/>
              </w:rPr>
              <w:t>格力金投于2017年5月18日</w:t>
            </w:r>
            <w:r>
              <w:rPr>
                <w:rFonts w:hint="eastAsia" w:ascii="宋体" w:hAnsi="宋体" w:cs="宋体"/>
                <w:lang w:val="en-US"/>
              </w:rPr>
              <w:t>成立于中国广东省</w:t>
            </w:r>
            <w:r>
              <w:rPr>
                <w:rFonts w:ascii="宋体" w:hAnsi="宋体" w:cs="宋体"/>
                <w:lang w:val="en-US"/>
              </w:rPr>
              <w:t>，格力金投重点开展基金管理、股权投资、资本运作等业务。</w:t>
            </w:r>
          </w:p>
          <w:p>
            <w:pPr>
              <w:widowControl w:val="0"/>
              <w:adjustRightInd w:val="0"/>
              <w:snapToGrid w:val="0"/>
              <w:spacing w:after="0"/>
              <w:rPr>
                <w:rFonts w:hint="eastAsia" w:ascii="宋体" w:hAnsi="宋体" w:cs="宋体"/>
                <w:bCs/>
                <w:color w:val="000000"/>
              </w:rPr>
            </w:pPr>
            <w:r>
              <w:rPr>
                <w:rFonts w:hint="eastAsia" w:ascii="宋体" w:hAnsi="宋体" w:cs="宋体"/>
                <w:lang w:val="en-US"/>
              </w:rPr>
              <w:t>格力金投最终控制人是</w:t>
            </w:r>
            <w:r>
              <w:rPr>
                <w:rFonts w:hint="eastAsia"/>
                <w:szCs w:val="21"/>
              </w:rPr>
              <w:t>格力集团</w:t>
            </w:r>
            <w:r>
              <w:rPr>
                <w:rFonts w:hint="eastAsia" w:ascii="宋体" w:hAnsi="宋体" w:cs="宋体"/>
                <w:lang w:val="en-US"/>
              </w:rPr>
              <w:t>，格力集团主要业务为产业投资、建设投资、服务运营、建筑安装、城市更新等。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1607" w:type="dxa"/>
            <w:noWrap w:val="0"/>
            <w:vAlign w:val="center"/>
          </w:tcPr>
          <w:p>
            <w:pPr>
              <w:pStyle w:val="3"/>
              <w:adjustRightInd w:val="0"/>
              <w:snapToGrid w:val="0"/>
              <w:spacing w:after="0"/>
              <w:rPr>
                <w:rFonts w:hint="eastAsia" w:ascii="宋体" w:hAnsi="宋体" w:cs="宋体"/>
                <w:bCs/>
                <w:color w:val="000000"/>
                <w:lang w:eastAsia="zh-CN"/>
              </w:rPr>
            </w:pPr>
            <w:r>
              <w:rPr>
                <w:rFonts w:hint="eastAsia" w:ascii="宋体" w:hAnsi="宋体" w:cs="宋体"/>
                <w:bCs/>
                <w:color w:val="000000"/>
                <w:lang w:val="en-US" w:eastAsia="zh-CN"/>
              </w:rPr>
              <w:t>2.</w:t>
            </w:r>
            <w:r>
              <w:rPr>
                <w:rFonts w:hint="eastAsia" w:ascii="宋体" w:hAnsi="宋体" w:cs="宋体"/>
                <w:bCs/>
                <w:color w:val="000000"/>
                <w:lang w:eastAsia="zh-CN"/>
              </w:rPr>
              <w:t>经营者名称</w:t>
            </w:r>
          </w:p>
          <w:p>
            <w:pPr>
              <w:pStyle w:val="3"/>
              <w:adjustRightInd w:val="0"/>
              <w:snapToGrid w:val="0"/>
              <w:spacing w:after="0"/>
              <w:rPr>
                <w:rFonts w:hint="eastAsia" w:ascii="宋体" w:hAnsi="宋体" w:cs="宋体"/>
                <w:bCs/>
                <w:color w:val="000000"/>
                <w:lang w:eastAsia="zh-CN"/>
              </w:rPr>
            </w:pPr>
          </w:p>
        </w:tc>
        <w:tc>
          <w:tcPr>
            <w:tcW w:w="6093" w:type="dxa"/>
            <w:noWrap w:val="0"/>
            <w:vAlign w:val="center"/>
          </w:tcPr>
          <w:p>
            <w:pPr>
              <w:adjustRightInd w:val="0"/>
              <w:snapToGrid w:val="0"/>
              <w:spacing w:after="0"/>
              <w:rPr>
                <w:rFonts w:hint="eastAsia" w:ascii="宋体" w:hAnsi="宋体" w:cs="宋体"/>
              </w:rPr>
            </w:pPr>
            <w:r>
              <w:rPr>
                <w:rFonts w:ascii="宋体" w:hAnsi="宋体" w:cs="宋体"/>
              </w:rPr>
              <w:t>科恒股份于2000年9月</w:t>
            </w:r>
            <w:r>
              <w:rPr>
                <w:rFonts w:hint="eastAsia" w:ascii="宋体" w:hAnsi="宋体" w:cs="宋体"/>
              </w:rPr>
              <w:t>因转制成立</w:t>
            </w:r>
            <w:r>
              <w:rPr>
                <w:rFonts w:ascii="宋体" w:hAnsi="宋体" w:cs="宋体"/>
              </w:rPr>
              <w:t>，注册地为</w:t>
            </w:r>
            <w:r>
              <w:rPr>
                <w:rFonts w:hint="eastAsia" w:ascii="宋体" w:hAnsi="宋体" w:cs="宋体"/>
              </w:rPr>
              <w:t>中国</w:t>
            </w:r>
            <w:r>
              <w:rPr>
                <w:rFonts w:ascii="宋体" w:hAnsi="宋体" w:cs="宋体"/>
              </w:rPr>
              <w:t>广东省，</w:t>
            </w:r>
            <w:r>
              <w:rPr>
                <w:rFonts w:hint="eastAsia" w:ascii="宋体" w:hAnsi="宋体" w:cs="宋体"/>
              </w:rPr>
              <w:t>为深圳证券交易所上市公司，科恒股份主要业务为锂离子电池正极材料及锂离子电池自动化生产设备的生产销售等。</w:t>
            </w:r>
          </w:p>
          <w:p>
            <w:pPr>
              <w:adjustRightInd w:val="0"/>
              <w:snapToGrid w:val="0"/>
              <w:spacing w:after="0"/>
              <w:rPr>
                <w:rFonts w:hint="eastAsia" w:ascii="宋体" w:hAnsi="宋体" w:cs="宋体"/>
              </w:rPr>
            </w:pPr>
            <w:r>
              <w:rPr>
                <w:rFonts w:hint="eastAsia" w:ascii="宋体" w:hAnsi="宋体" w:cs="宋体"/>
              </w:rPr>
              <w:t>科恒股份目前最终控制人为万国江，</w:t>
            </w:r>
            <w:r>
              <w:rPr>
                <w:rFonts w:hint="eastAsia"/>
                <w:szCs w:val="21"/>
              </w:rPr>
              <w:t>主要从事</w:t>
            </w:r>
            <w:bookmarkStart w:id="0" w:name="_Hlk124691782"/>
            <w:r>
              <w:rPr>
                <w:rFonts w:hint="eastAsia"/>
                <w:szCs w:val="21"/>
              </w:rPr>
              <w:t>锂离子电池正极材料、锂离子电池自动化生产设备</w:t>
            </w:r>
            <w:bookmarkEnd w:id="0"/>
            <w:r>
              <w:rPr>
                <w:rFonts w:hint="eastAsia"/>
                <w:szCs w:val="21"/>
              </w:rPr>
              <w:t>，以及纺织染料、</w:t>
            </w:r>
            <w:r>
              <w:rPr>
                <w:szCs w:val="21"/>
              </w:rPr>
              <w:t>纺织</w:t>
            </w:r>
            <w:r>
              <w:t>助剂</w:t>
            </w:r>
            <w:r>
              <w:rPr>
                <w:rFonts w:hint="eastAsia"/>
                <w:szCs w:val="21"/>
              </w:rPr>
              <w:t>等领域相关产业的投资。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940" w:type="dxa"/>
            <w:vMerge w:val="restart"/>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t>简易案件理由（可以单选，也可以多选）</w:t>
            </w: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ascii="宋体" w:hAnsi="宋体" w:cs="宋体"/>
                <w:bCs/>
                <w:color w:val="000000"/>
                <w:lang w:eastAsia="zh-CN"/>
              </w:rPr>
              <w:t xml:space="preserve"> </w:t>
            </w:r>
            <w:r>
              <w:rPr>
                <w:rFonts w:hint="eastAsia" w:ascii="宋体" w:hAnsi="宋体" w:cs="宋体"/>
                <w:bCs/>
                <w:color w:val="000000"/>
                <w:lang w:eastAsia="zh-CN"/>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ascii="宋体" w:hAnsi="宋体" w:cs="宋体"/>
                <w:bCs/>
                <w:color w:val="000000"/>
                <w:lang w:eastAsia="zh-CN"/>
              </w:rPr>
              <w:t xml:space="preserve"> </w:t>
            </w:r>
            <w:r>
              <w:rPr>
                <w:rFonts w:hint="eastAsia" w:ascii="宋体" w:hAnsi="宋体" w:cs="宋体"/>
                <w:bCs/>
                <w:color w:val="000000"/>
                <w:lang w:eastAsia="zh-CN"/>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FE"/>
            </w:r>
            <w:r>
              <w:rPr>
                <w:rFonts w:hint="eastAsia" w:ascii="宋体" w:hAnsi="宋体" w:cs="宋体"/>
                <w:bCs/>
                <w:color w:val="000000"/>
                <w:lang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940" w:type="dxa"/>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备注</w:t>
            </w:r>
          </w:p>
        </w:tc>
        <w:tc>
          <w:tcPr>
            <w:tcW w:w="7700" w:type="dxa"/>
            <w:gridSpan w:val="2"/>
            <w:noWrap w:val="0"/>
            <w:vAlign w:val="center"/>
          </w:tcPr>
          <w:p>
            <w:pPr>
              <w:pStyle w:val="3"/>
              <w:adjustRightInd w:val="0"/>
              <w:snapToGrid w:val="0"/>
              <w:spacing w:after="0"/>
              <w:rPr>
                <w:rFonts w:ascii="宋体" w:hAnsi="宋体" w:cs="宋体"/>
                <w:b/>
                <w:color w:val="000000"/>
                <w:lang w:eastAsia="zh-CN"/>
              </w:rPr>
            </w:pPr>
            <w:r>
              <w:rPr>
                <w:rFonts w:hint="eastAsia" w:ascii="宋体" w:hAnsi="宋体" w:cs="宋体"/>
                <w:b/>
                <w:color w:val="000000"/>
                <w:lang w:eastAsia="zh-CN"/>
              </w:rPr>
              <w:t>混合集中：</w:t>
            </w:r>
          </w:p>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2</w:t>
            </w:r>
            <w:r>
              <w:rPr>
                <w:rFonts w:ascii="宋体" w:hAnsi="宋体" w:cs="宋体"/>
                <w:bCs/>
                <w:color w:val="000000"/>
                <w:lang w:val="en-US" w:eastAsia="zh-CN"/>
              </w:rPr>
              <w:t>021</w:t>
            </w:r>
            <w:r>
              <w:rPr>
                <w:rFonts w:hint="eastAsia" w:ascii="宋体" w:hAnsi="宋体" w:cs="宋体"/>
                <w:bCs/>
                <w:color w:val="000000"/>
                <w:lang w:val="en-US" w:eastAsia="zh-CN"/>
              </w:rPr>
              <w:t>年中国境内钴酸锂市场：</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 xml:space="preserve">科恒股份 </w:t>
            </w:r>
            <w:r>
              <w:rPr>
                <w:rFonts w:ascii="宋体" w:hAnsi="宋体" w:cs="宋体"/>
                <w:bCs/>
                <w:color w:val="000000"/>
                <w:lang w:val="en-US" w:eastAsia="zh-CN"/>
              </w:rPr>
              <w:t>5</w:t>
            </w:r>
            <w:r>
              <w:rPr>
                <w:rFonts w:hint="eastAsia" w:ascii="宋体" w:hAnsi="宋体" w:cs="宋体"/>
                <w:bCs/>
                <w:color w:val="000000"/>
                <w:lang w:val="en-US" w:eastAsia="zh-CN"/>
              </w:rPr>
              <w:t>-</w:t>
            </w:r>
            <w:r>
              <w:rPr>
                <w:rFonts w:ascii="宋体" w:hAnsi="宋体" w:cs="宋体"/>
                <w:bCs/>
                <w:color w:val="000000"/>
                <w:lang w:val="en-US" w:eastAsia="zh-CN"/>
              </w:rPr>
              <w:t>10</w:t>
            </w:r>
            <w:r>
              <w:rPr>
                <w:rFonts w:hint="eastAsia" w:ascii="宋体" w:hAnsi="宋体" w:cs="宋体"/>
                <w:bCs/>
                <w:color w:val="000000"/>
                <w:lang w:val="en-US" w:eastAsia="zh-CN"/>
              </w:rPr>
              <w:t>%，格力金投 0%，双方合计</w:t>
            </w:r>
            <w:r>
              <w:rPr>
                <w:rFonts w:ascii="宋体" w:hAnsi="宋体" w:cs="宋体"/>
                <w:bCs/>
                <w:color w:val="000000"/>
                <w:lang w:val="en-US" w:eastAsia="zh-CN"/>
              </w:rPr>
              <w:t>5</w:t>
            </w:r>
            <w:r>
              <w:rPr>
                <w:rFonts w:hint="eastAsia" w:ascii="宋体" w:hAnsi="宋体" w:cs="宋体"/>
                <w:bCs/>
                <w:color w:val="000000"/>
                <w:lang w:val="en-US" w:eastAsia="zh-CN"/>
              </w:rPr>
              <w:t>-</w:t>
            </w:r>
            <w:r>
              <w:rPr>
                <w:rFonts w:ascii="宋体" w:hAnsi="宋体" w:cs="宋体"/>
                <w:bCs/>
                <w:color w:val="000000"/>
                <w:lang w:val="en-US" w:eastAsia="zh-CN"/>
              </w:rPr>
              <w:t>10</w:t>
            </w:r>
            <w:r>
              <w:rPr>
                <w:rFonts w:hint="eastAsia" w:ascii="宋体" w:hAnsi="宋体" w:cs="宋体"/>
                <w:bCs/>
                <w:color w:val="000000"/>
                <w:lang w:val="en-US" w:eastAsia="zh-CN"/>
              </w:rPr>
              <w:t>%</w:t>
            </w:r>
          </w:p>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2</w:t>
            </w:r>
            <w:r>
              <w:rPr>
                <w:rFonts w:ascii="宋体" w:hAnsi="宋体" w:cs="宋体"/>
                <w:bCs/>
                <w:color w:val="000000"/>
                <w:lang w:val="en-US" w:eastAsia="zh-CN"/>
              </w:rPr>
              <w:t>021</w:t>
            </w:r>
            <w:r>
              <w:rPr>
                <w:rFonts w:hint="eastAsia" w:ascii="宋体" w:hAnsi="宋体" w:cs="宋体"/>
                <w:bCs/>
                <w:color w:val="000000"/>
                <w:lang w:val="en-US" w:eastAsia="zh-CN"/>
              </w:rPr>
              <w:t>年中国境内锂电前段设备市场：</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 xml:space="preserve">科恒股份 </w:t>
            </w:r>
            <w:r>
              <w:rPr>
                <w:rFonts w:ascii="宋体" w:hAnsi="宋体" w:cs="宋体"/>
                <w:bCs/>
                <w:color w:val="000000"/>
                <w:lang w:val="en-US" w:eastAsia="zh-CN"/>
              </w:rPr>
              <w:t>0</w:t>
            </w:r>
            <w:r>
              <w:rPr>
                <w:rFonts w:hint="eastAsia" w:ascii="宋体" w:hAnsi="宋体" w:cs="宋体"/>
                <w:bCs/>
                <w:color w:val="000000"/>
                <w:lang w:val="en-US" w:eastAsia="zh-CN"/>
              </w:rPr>
              <w:t>-</w:t>
            </w:r>
            <w:r>
              <w:rPr>
                <w:rFonts w:ascii="宋体" w:hAnsi="宋体" w:cs="宋体"/>
                <w:bCs/>
                <w:color w:val="000000"/>
                <w:lang w:val="en-US" w:eastAsia="zh-CN"/>
              </w:rPr>
              <w:t>5</w:t>
            </w:r>
            <w:r>
              <w:rPr>
                <w:rFonts w:hint="eastAsia" w:ascii="宋体" w:hAnsi="宋体" w:cs="宋体"/>
                <w:bCs/>
                <w:color w:val="000000"/>
                <w:lang w:val="en-US" w:eastAsia="zh-CN"/>
              </w:rPr>
              <w:t>%，格力金投 0%，双方合计</w:t>
            </w:r>
            <w:r>
              <w:rPr>
                <w:rFonts w:ascii="宋体" w:hAnsi="宋体" w:cs="宋体"/>
                <w:bCs/>
                <w:color w:val="000000"/>
                <w:lang w:val="en-US" w:eastAsia="zh-CN"/>
              </w:rPr>
              <w:t>0</w:t>
            </w:r>
            <w:r>
              <w:rPr>
                <w:rFonts w:hint="eastAsia" w:ascii="宋体" w:hAnsi="宋体" w:cs="宋体"/>
                <w:bCs/>
                <w:color w:val="000000"/>
                <w:lang w:val="en-US" w:eastAsia="zh-CN"/>
              </w:rPr>
              <w:t>-</w:t>
            </w:r>
            <w:r>
              <w:rPr>
                <w:rFonts w:ascii="宋体" w:hAnsi="宋体" w:cs="宋体"/>
                <w:bCs/>
                <w:color w:val="000000"/>
                <w:lang w:val="en-US" w:eastAsia="zh-CN"/>
              </w:rPr>
              <w:t>5</w:t>
            </w:r>
            <w:r>
              <w:rPr>
                <w:rFonts w:hint="eastAsia" w:ascii="宋体" w:hAnsi="宋体" w:cs="宋体"/>
                <w:bCs/>
                <w:color w:val="000000"/>
                <w:lang w:val="en-US"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144B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qFormat/>
    <w:uiPriority w:val="99"/>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2023-03-30T08:53:17Z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