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</w:rPr>
        <w:t>全国企业首席质量官质量变革创新典型案例评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  <w:lang w:val="en-US" w:eastAsia="zh-CN"/>
        </w:rPr>
        <w:t>价参考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</w:rPr>
      </w:pPr>
    </w:p>
    <w:tbl>
      <w:tblPr>
        <w:tblStyle w:val="3"/>
        <w:tblW w:w="87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228"/>
        <w:gridCol w:w="5987"/>
        <w:gridCol w:w="765"/>
        <w:gridCol w:w="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  <w:lang w:val="en-US" w:eastAsia="zh-CN"/>
              </w:rPr>
              <w:t>评价指标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  <w:t>评价内容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  <w:t>分值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真实性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否决项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  <w:lang w:eastAsia="zh-CN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有效性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eastAsia="zh-CN"/>
              </w:rPr>
              <w:t>企业落实首席质量官制度情况（共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val="en-US" w:eastAsia="zh-CN"/>
              </w:rPr>
              <w:t>10分，其中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eastAsia="zh-CN"/>
              </w:rPr>
              <w:t>企业副总担任首席质量官可得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val="en-US" w:eastAsia="zh-CN"/>
              </w:rPr>
              <w:t>5分，中层干部担任可得3分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质量变革创新应用场景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质量竞争力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，如质量、技术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指标、标准专利水平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质量文化软实力等方面的成效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——显著的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经济效益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如新增销售额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利润、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市场占有率、满意度、降低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质量成本、节能降耗、减碳等（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——良好的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会价值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带动产业链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、行业、区域发展，履行社会责任等（</w:t>
            </w:r>
            <w:r>
              <w:rPr>
                <w:rFonts w:hint="eastAsia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科学性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质量变革创新原理示意图（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质量变革创新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思路（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质量变革创新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主要要素和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逻辑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关系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或工法（QC课题）的关键质量工艺方法创新。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创新性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选题背景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包括选题理由、应用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相关方法数据分析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可行性论证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科学理论和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新工艺、新方法，以及统计技术工具和方法等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质量关键的突破或对新业态、新渠道、新模式、制度、方法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的变革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创新（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首席质量官在本案例中发挥的作用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分）。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可复制性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具有先进性、独特性，形成的专利、著作等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——具有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有效性和系统性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形成的标准、工法等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基于成果的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可行性和可操作性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形成的工艺路线、技术诀窍、操作方法等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分）。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可推广性</w:t>
            </w:r>
          </w:p>
        </w:tc>
        <w:tc>
          <w:tcPr>
            <w:tcW w:w="59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具有推广示范价值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——在所属领域或社会中的推广应用情况，如交流会，发布会、观摩现场会、团体标准等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带动产业链企业、行业、区域的高质量发展情形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pacing w:line="594" w:lineRule="exact"/>
        <w:ind w:left="0" w:hanging="444" w:hangingChars="200"/>
        <w:jc w:val="left"/>
        <w:rPr>
          <w:rFonts w:hint="default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shd w:val="clear" w:color="auto" w:fill="FFFFFF"/>
        </w:rPr>
        <w:t>注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  <w:t>：质量战略、文化、品牌、宣传、教育、队伍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  <w:t>建设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  <w:t>等管理类</w:t>
      </w:r>
      <w:r>
        <w:rPr>
          <w:rFonts w:hint="eastAsia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  <w:t>质量</w:t>
      </w:r>
      <w:r>
        <w:rPr>
          <w:rFonts w:hint="default" w:ascii="Times New Roman" w:hAnsi="Times New Roman" w:eastAsia="方正楷体_GBK" w:cs="Times New Roman"/>
          <w:color w:val="auto"/>
          <w:sz w:val="24"/>
          <w:szCs w:val="24"/>
          <w:shd w:val="clear" w:color="auto" w:fill="FFFFFF"/>
          <w:lang w:eastAsia="zh-CN"/>
        </w:rPr>
        <w:t>变革创新案例，参照上述评价指标的分类进行评价。</w:t>
      </w:r>
    </w:p>
    <w:p/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0C57263"/>
    <w:rsid w:val="49A70732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2023-03-28T03:11:18Z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