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Times New Roman"/>
          <w:sz w:val="30"/>
          <w:szCs w:val="30"/>
        </w:rPr>
      </w:pPr>
      <w:r>
        <w:rPr>
          <w:rFonts w:hint="eastAsia" w:ascii="黑体" w:hAnsi="Times New Roman"/>
          <w:sz w:val="30"/>
          <w:szCs w:val="30"/>
        </w:rPr>
        <w:t>经营者集中简易案件公示表</w:t>
      </w:r>
    </w:p>
    <w:p>
      <w:pPr>
        <w:spacing w:line="440" w:lineRule="exact"/>
        <w:rPr>
          <w:rFonts w:ascii="黑体" w:hAnsi="Times New Roman"/>
          <w:sz w:val="28"/>
          <w:szCs w:val="28"/>
        </w:rPr>
      </w:pPr>
    </w:p>
    <w:tbl>
      <w:tblPr>
        <w:tblStyle w:val="8"/>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1960"/>
        <w:gridCol w:w="5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spacing w:line="500" w:lineRule="exact"/>
              <w:rPr>
                <w:rFonts w:ascii="仿宋_GB2312" w:hAnsi="Times New Roman"/>
                <w:sz w:val="28"/>
                <w:szCs w:val="28"/>
              </w:rPr>
            </w:pPr>
            <w:r>
              <w:rPr>
                <w:rFonts w:hint="eastAsia" w:ascii="仿宋_GB2312" w:hAnsi="Times New Roman"/>
                <w:sz w:val="28"/>
                <w:szCs w:val="28"/>
              </w:rPr>
              <w:t>案件名称</w:t>
            </w:r>
          </w:p>
        </w:tc>
        <w:tc>
          <w:tcPr>
            <w:tcW w:w="6949" w:type="dxa"/>
            <w:gridSpan w:val="2"/>
            <w:vAlign w:val="center"/>
          </w:tcPr>
          <w:p>
            <w:pPr>
              <w:spacing w:line="500" w:lineRule="exact"/>
              <w:rPr>
                <w:rFonts w:ascii="仿宋_GB2312" w:hAnsi="Times New Roman"/>
                <w:sz w:val="28"/>
                <w:szCs w:val="28"/>
              </w:rPr>
            </w:pPr>
            <w:r>
              <w:rPr>
                <w:rFonts w:hint="eastAsia" w:ascii="仿宋_GB2312" w:hAnsi="Times New Roman"/>
                <w:sz w:val="28"/>
                <w:szCs w:val="28"/>
                <w:lang w:val="en-GB"/>
              </w:rPr>
              <w:t>上海同盛物流园区投资开发有限公司与新海丰物流有限公司新设合营企业案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tcPr>
          <w:p>
            <w:pPr>
              <w:spacing w:line="500" w:lineRule="exact"/>
              <w:rPr>
                <w:rFonts w:ascii="仿宋_GB2312" w:hAnsi="Times New Roman"/>
                <w:sz w:val="28"/>
                <w:szCs w:val="28"/>
              </w:rPr>
            </w:pPr>
            <w:r>
              <w:rPr>
                <w:rFonts w:hint="eastAsia" w:ascii="仿宋_GB2312" w:hAnsi="Times New Roman"/>
                <w:sz w:val="28"/>
                <w:szCs w:val="28"/>
              </w:rPr>
              <w:t>交易概况（限</w:t>
            </w:r>
            <w:r>
              <w:rPr>
                <w:rFonts w:ascii="仿宋_GB2312" w:hAnsi="Times New Roman"/>
                <w:sz w:val="28"/>
                <w:szCs w:val="28"/>
              </w:rPr>
              <w:t>200</w:t>
            </w:r>
            <w:r>
              <w:rPr>
                <w:rFonts w:hint="eastAsia" w:ascii="仿宋_GB2312" w:hAnsi="Times New Roman"/>
                <w:sz w:val="28"/>
                <w:szCs w:val="28"/>
              </w:rPr>
              <w:t>字内）</w:t>
            </w:r>
          </w:p>
        </w:tc>
        <w:tc>
          <w:tcPr>
            <w:tcW w:w="6949" w:type="dxa"/>
            <w:gridSpan w:val="2"/>
          </w:tcPr>
          <w:p>
            <w:pPr>
              <w:widowControl/>
              <w:snapToGrid w:val="0"/>
              <w:jc w:val="left"/>
              <w:rPr>
                <w:rFonts w:ascii="仿宋_GB2312" w:hAnsi="Times New Roman"/>
                <w:sz w:val="28"/>
                <w:szCs w:val="28"/>
              </w:rPr>
            </w:pPr>
            <w:r>
              <w:rPr>
                <w:rFonts w:hint="eastAsia" w:ascii="仿宋_GB2312" w:hAnsi="Times New Roman"/>
                <w:sz w:val="28"/>
                <w:szCs w:val="28"/>
                <w:lang w:val="en-GB"/>
              </w:rPr>
              <w:t>本次交易涉及上海同盛物流园区投资开发有限公司（“</w:t>
            </w:r>
            <w:r>
              <w:rPr>
                <w:rFonts w:hint="eastAsia" w:ascii="仿宋_GB2312" w:hAnsi="Times New Roman"/>
                <w:b/>
                <w:bCs/>
                <w:sz w:val="28"/>
                <w:szCs w:val="28"/>
                <w:lang w:val="en-GB"/>
              </w:rPr>
              <w:t>同盛物流</w:t>
            </w:r>
            <w:r>
              <w:rPr>
                <w:rFonts w:hint="eastAsia" w:ascii="仿宋_GB2312" w:hAnsi="Times New Roman"/>
                <w:sz w:val="28"/>
                <w:szCs w:val="28"/>
                <w:lang w:val="en-GB"/>
              </w:rPr>
              <w:t>”）与新海丰物流有限公司（“</w:t>
            </w:r>
            <w:r>
              <w:rPr>
                <w:rFonts w:hint="eastAsia" w:ascii="仿宋_GB2312" w:hAnsi="Times New Roman"/>
                <w:b/>
                <w:bCs/>
                <w:sz w:val="28"/>
                <w:szCs w:val="28"/>
                <w:lang w:val="en-GB"/>
              </w:rPr>
              <w:t>海丰物流</w:t>
            </w:r>
            <w:r>
              <w:rPr>
                <w:rFonts w:hint="eastAsia" w:ascii="仿宋_GB2312" w:hAnsi="Times New Roman"/>
                <w:sz w:val="28"/>
                <w:szCs w:val="28"/>
                <w:lang w:val="en-GB"/>
              </w:rPr>
              <w:t>”）于上海新设合营企业，从事集装箱堆场服务。合营公司由同盛物流和海丰物流共同出资成立。交易完成后，同盛物流持股</w:t>
            </w:r>
            <w:r>
              <w:rPr>
                <w:rFonts w:ascii="仿宋_GB2312" w:hAnsi="Times New Roman"/>
                <w:sz w:val="28"/>
                <w:szCs w:val="28"/>
                <w:lang w:val="en-GB"/>
              </w:rPr>
              <w:t>60</w:t>
            </w:r>
            <w:r>
              <w:rPr>
                <w:rFonts w:hint="eastAsia" w:ascii="仿宋_GB2312" w:hAnsi="Times New Roman"/>
                <w:sz w:val="28"/>
                <w:szCs w:val="28"/>
                <w:lang w:val="en-GB"/>
              </w:rPr>
              <w:t>%，海丰物流持股4</w:t>
            </w:r>
            <w:r>
              <w:rPr>
                <w:rFonts w:ascii="仿宋_GB2312" w:hAnsi="Times New Roman"/>
                <w:sz w:val="28"/>
                <w:szCs w:val="28"/>
                <w:lang w:val="en-GB"/>
              </w:rPr>
              <w:t>0</w:t>
            </w:r>
            <w:r>
              <w:rPr>
                <w:rFonts w:hint="eastAsia" w:ascii="仿宋_GB2312" w:hAnsi="Times New Roman"/>
                <w:sz w:val="28"/>
                <w:szCs w:val="28"/>
                <w:lang w:val="en-GB"/>
              </w:rPr>
              <w:t>%，共同控制合营企业。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tcPr>
          <w:p>
            <w:pPr>
              <w:spacing w:line="500" w:lineRule="exact"/>
              <w:rPr>
                <w:rFonts w:ascii="仿宋_GB2312" w:hAnsi="Times New Roman"/>
                <w:sz w:val="28"/>
                <w:szCs w:val="28"/>
              </w:rPr>
            </w:pPr>
            <w:r>
              <w:rPr>
                <w:rFonts w:hint="eastAsia" w:ascii="仿宋_GB2312" w:hAnsi="Times New Roman"/>
                <w:sz w:val="28"/>
                <w:szCs w:val="28"/>
              </w:rPr>
              <w:t>参与集中的经营者简介</w:t>
            </w:r>
          </w:p>
        </w:tc>
        <w:tc>
          <w:tcPr>
            <w:tcW w:w="1796" w:type="dxa"/>
          </w:tcPr>
          <w:p>
            <w:pPr>
              <w:spacing w:line="500" w:lineRule="exact"/>
              <w:rPr>
                <w:rFonts w:ascii="仿宋_GB2312" w:hAnsi="Times New Roman"/>
                <w:sz w:val="28"/>
                <w:szCs w:val="28"/>
                <w:lang w:val="en-GB"/>
              </w:rPr>
            </w:pPr>
            <w:r>
              <w:rPr>
                <w:rFonts w:ascii="仿宋_GB2312" w:hAnsi="Times New Roman"/>
                <w:sz w:val="28"/>
                <w:szCs w:val="28"/>
                <w:lang w:val="en-GB"/>
              </w:rPr>
              <w:t>1</w:t>
            </w:r>
            <w:r>
              <w:rPr>
                <w:rFonts w:hint="eastAsia" w:ascii="仿宋_GB2312" w:hAnsi="Times New Roman"/>
                <w:sz w:val="28"/>
                <w:szCs w:val="28"/>
                <w:lang w:val="en-GB"/>
              </w:rPr>
              <w:t>、同盛物流</w:t>
            </w:r>
          </w:p>
        </w:tc>
        <w:tc>
          <w:tcPr>
            <w:tcW w:w="5153" w:type="dxa"/>
          </w:tcPr>
          <w:p>
            <w:pPr>
              <w:widowControl/>
              <w:snapToGrid w:val="0"/>
              <w:jc w:val="left"/>
              <w:rPr>
                <w:rFonts w:ascii="仿宋_GB2312" w:hAnsi="Times New Roman"/>
                <w:sz w:val="28"/>
                <w:szCs w:val="28"/>
                <w:lang w:val="en-GB"/>
              </w:rPr>
            </w:pPr>
            <w:r>
              <w:rPr>
                <w:rFonts w:hint="eastAsia" w:ascii="仿宋_GB2312" w:hAnsi="Times New Roman"/>
                <w:sz w:val="28"/>
                <w:szCs w:val="28"/>
                <w:lang w:val="en-GB"/>
              </w:rPr>
              <w:t>同盛物流于2</w:t>
            </w:r>
            <w:r>
              <w:rPr>
                <w:rFonts w:ascii="仿宋_GB2312" w:hAnsi="Times New Roman"/>
                <w:sz w:val="28"/>
                <w:szCs w:val="28"/>
                <w:lang w:val="en-GB"/>
              </w:rPr>
              <w:t>002</w:t>
            </w:r>
            <w:r>
              <w:rPr>
                <w:rFonts w:hint="eastAsia" w:ascii="仿宋_GB2312" w:hAnsi="Times New Roman"/>
                <w:sz w:val="28"/>
                <w:szCs w:val="28"/>
                <w:lang w:val="en-GB"/>
              </w:rPr>
              <w:t>年1</w:t>
            </w:r>
            <w:r>
              <w:rPr>
                <w:rFonts w:ascii="仿宋_GB2312" w:hAnsi="Times New Roman"/>
                <w:sz w:val="28"/>
                <w:szCs w:val="28"/>
                <w:lang w:val="en-GB"/>
              </w:rPr>
              <w:t>0</w:t>
            </w:r>
            <w:r>
              <w:rPr>
                <w:rFonts w:hint="eastAsia" w:ascii="仿宋_GB2312" w:hAnsi="Times New Roman"/>
                <w:sz w:val="28"/>
                <w:szCs w:val="28"/>
                <w:lang w:val="en-GB"/>
              </w:rPr>
              <w:t>月1</w:t>
            </w:r>
            <w:r>
              <w:rPr>
                <w:rFonts w:ascii="仿宋_GB2312" w:hAnsi="Times New Roman"/>
                <w:sz w:val="28"/>
                <w:szCs w:val="28"/>
                <w:lang w:val="en-GB"/>
              </w:rPr>
              <w:t>5</w:t>
            </w:r>
            <w:r>
              <w:rPr>
                <w:rFonts w:hint="eastAsia" w:ascii="仿宋_GB2312" w:hAnsi="Times New Roman"/>
                <w:sz w:val="28"/>
                <w:szCs w:val="28"/>
                <w:lang w:val="en-GB"/>
              </w:rPr>
              <w:t>日成立于中国上海市，主要业务为港口物流业务，开展口岸配套服务、资产设施运营和第三方物流运作等服务。</w:t>
            </w:r>
          </w:p>
          <w:p>
            <w:pPr>
              <w:widowControl/>
              <w:snapToGrid w:val="0"/>
              <w:spacing w:line="500" w:lineRule="exact"/>
              <w:jc w:val="left"/>
              <w:rPr>
                <w:rFonts w:ascii="仿宋_GB2312" w:hAnsi="Times New Roman"/>
                <w:sz w:val="28"/>
                <w:szCs w:val="28"/>
                <w:lang w:val="en-GB"/>
              </w:rPr>
            </w:pPr>
            <w:r>
              <w:rPr>
                <w:rFonts w:hint="eastAsia" w:ascii="仿宋_GB2312" w:hAnsi="Times New Roman"/>
                <w:sz w:val="28"/>
                <w:szCs w:val="28"/>
                <w:lang w:val="en-GB"/>
              </w:rPr>
              <w:t>同盛物流</w:t>
            </w:r>
            <w:r>
              <w:rPr>
                <w:rFonts w:hint="eastAsia" w:ascii="仿宋_GB2312" w:hAnsi="Times New Roman"/>
                <w:sz w:val="28"/>
                <w:szCs w:val="28"/>
                <w:lang w:val="en-GB" w:eastAsia="zh-CN"/>
              </w:rPr>
              <w:t>的最终控制人是</w:t>
            </w:r>
            <w:r>
              <w:rPr>
                <w:rFonts w:hint="eastAsia" w:ascii="仿宋_GB2312" w:hAnsi="Times New Roman"/>
                <w:sz w:val="28"/>
                <w:szCs w:val="28"/>
                <w:lang w:val="en-GB"/>
              </w:rPr>
              <w:t>上海国际港务（集团）股份有限公司（</w:t>
            </w:r>
            <w:r>
              <w:rPr>
                <w:rFonts w:hint="eastAsia" w:ascii="仿宋_GB2312" w:hAnsi="Times New Roman"/>
                <w:b/>
                <w:bCs/>
                <w:sz w:val="28"/>
                <w:szCs w:val="28"/>
                <w:lang w:val="en-GB"/>
              </w:rPr>
              <w:t>“上港集团”</w:t>
            </w:r>
            <w:r>
              <w:rPr>
                <w:rFonts w:hint="eastAsia" w:ascii="仿宋_GB2312" w:hAnsi="Times New Roman"/>
                <w:sz w:val="28"/>
                <w:szCs w:val="28"/>
                <w:lang w:val="en-GB"/>
              </w:rPr>
              <w:t>）。上港集团的主要业务包括：集装箱码头、散杂货码头、港口物流、港口服务。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tcPr>
          <w:p>
            <w:pPr>
              <w:spacing w:line="500" w:lineRule="exact"/>
              <w:rPr>
                <w:rFonts w:ascii="仿宋_GB2312" w:hAnsi="Times New Roman"/>
                <w:sz w:val="28"/>
                <w:szCs w:val="28"/>
              </w:rPr>
            </w:pPr>
          </w:p>
        </w:tc>
        <w:tc>
          <w:tcPr>
            <w:tcW w:w="1796" w:type="dxa"/>
          </w:tcPr>
          <w:p>
            <w:pPr>
              <w:spacing w:line="500" w:lineRule="exact"/>
              <w:rPr>
                <w:rFonts w:ascii="仿宋_GB2312" w:hAnsi="Times New Roman"/>
                <w:sz w:val="28"/>
                <w:szCs w:val="28"/>
                <w:lang w:val="en-GB"/>
              </w:rPr>
            </w:pPr>
            <w:r>
              <w:rPr>
                <w:rFonts w:ascii="仿宋_GB2312" w:hAnsi="Times New Roman"/>
                <w:sz w:val="28"/>
                <w:szCs w:val="28"/>
                <w:lang w:val="en-GB"/>
              </w:rPr>
              <w:t>2</w:t>
            </w:r>
            <w:r>
              <w:rPr>
                <w:rFonts w:hint="eastAsia" w:ascii="仿宋_GB2312" w:hAnsi="Times New Roman"/>
                <w:sz w:val="28"/>
                <w:szCs w:val="28"/>
                <w:lang w:val="en-GB"/>
              </w:rPr>
              <w:t>、海丰物流</w:t>
            </w:r>
          </w:p>
        </w:tc>
        <w:tc>
          <w:tcPr>
            <w:tcW w:w="5153" w:type="dxa"/>
          </w:tcPr>
          <w:p>
            <w:pPr>
              <w:spacing w:line="500" w:lineRule="exact"/>
              <w:rPr>
                <w:rFonts w:ascii="仿宋_GB2312" w:hAnsi="Times New Roman"/>
                <w:sz w:val="28"/>
                <w:szCs w:val="28"/>
              </w:rPr>
            </w:pPr>
            <w:r>
              <w:rPr>
                <w:rFonts w:hint="eastAsia" w:ascii="仿宋_GB2312" w:hAnsi="Times New Roman"/>
                <w:sz w:val="28"/>
                <w:szCs w:val="28"/>
              </w:rPr>
              <w:t>海丰物流2001年3月8日成立于中国山东省青岛市，主要从事国际货运代理。</w:t>
            </w:r>
          </w:p>
          <w:p>
            <w:pPr>
              <w:pStyle w:val="2"/>
            </w:pPr>
            <w:r>
              <w:rPr>
                <w:rFonts w:hint="eastAsia" w:ascii="仿宋_GB2312" w:hAnsi="Times New Roman"/>
                <w:sz w:val="28"/>
                <w:szCs w:val="28"/>
              </w:rPr>
              <w:t>海丰物流</w:t>
            </w:r>
            <w:r>
              <w:rPr>
                <w:rFonts w:hint="eastAsia" w:ascii="仿宋_GB2312" w:hAnsi="Times New Roman"/>
                <w:sz w:val="28"/>
                <w:szCs w:val="28"/>
                <w:lang w:eastAsia="zh-CN"/>
              </w:rPr>
              <w:t>的最终控制人</w:t>
            </w:r>
            <w:r>
              <w:rPr>
                <w:rFonts w:hint="eastAsia" w:ascii="仿宋_GB2312" w:hAnsi="Times New Roman"/>
                <w:sz w:val="28"/>
                <w:szCs w:val="28"/>
              </w:rPr>
              <w:t>是海丰国际控股有限公司</w:t>
            </w:r>
            <w:r>
              <w:rPr>
                <w:rFonts w:hint="eastAsia" w:ascii="仿宋_GB2312" w:hAnsi="Times New Roman"/>
                <w:sz w:val="28"/>
                <w:szCs w:val="28"/>
                <w:lang w:val="en-GB"/>
              </w:rPr>
              <w:t>（</w:t>
            </w:r>
            <w:r>
              <w:rPr>
                <w:rFonts w:hint="eastAsia" w:ascii="仿宋_GB2312" w:hAnsi="Times New Roman"/>
                <w:b/>
                <w:bCs/>
                <w:sz w:val="28"/>
                <w:szCs w:val="28"/>
                <w:lang w:val="en-GB"/>
              </w:rPr>
              <w:t>“海丰国际”</w:t>
            </w:r>
            <w:r>
              <w:rPr>
                <w:rFonts w:hint="eastAsia" w:ascii="仿宋_GB2312" w:hAnsi="Times New Roman"/>
                <w:sz w:val="28"/>
                <w:szCs w:val="28"/>
                <w:lang w:val="en-GB"/>
              </w:rPr>
              <w:t>）</w:t>
            </w:r>
            <w:r>
              <w:rPr>
                <w:rFonts w:hint="eastAsia" w:ascii="仿宋_GB2312" w:hAnsi="Times New Roman"/>
                <w:sz w:val="28"/>
                <w:szCs w:val="28"/>
              </w:rPr>
              <w:t>。海丰国际的主要业务包括：国际集装箱班轮运输、国际货运代理、集装箱堆场服务。</w:t>
            </w:r>
          </w:p>
          <w:p>
            <w:pPr>
              <w:spacing w:line="500" w:lineRule="exact"/>
              <w:rPr>
                <w:rFonts w:ascii="仿宋_GB2312"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tcPr>
          <w:p>
            <w:pPr>
              <w:spacing w:line="500" w:lineRule="exact"/>
              <w:rPr>
                <w:rFonts w:ascii="仿宋_GB2312" w:hAnsi="Times New Roman"/>
                <w:sz w:val="28"/>
                <w:szCs w:val="28"/>
              </w:rPr>
            </w:pPr>
            <w:r>
              <w:rPr>
                <w:rFonts w:hint="eastAsia" w:ascii="仿宋_GB2312" w:hAnsi="Times New Roman"/>
                <w:sz w:val="28"/>
                <w:szCs w:val="28"/>
              </w:rPr>
              <w:t>简易案件理由（可以单选，也可以多选）</w:t>
            </w:r>
          </w:p>
        </w:tc>
        <w:tc>
          <w:tcPr>
            <w:tcW w:w="6949" w:type="dxa"/>
            <w:gridSpan w:val="2"/>
          </w:tcPr>
          <w:p>
            <w:pPr>
              <w:spacing w:line="500" w:lineRule="exact"/>
              <w:rPr>
                <w:rFonts w:ascii="仿宋_GB2312" w:hAnsi="Times New Roman"/>
                <w:sz w:val="28"/>
                <w:szCs w:val="28"/>
              </w:rPr>
            </w:pPr>
            <w:r>
              <w:rPr>
                <w:rFonts w:ascii="仿宋_GB2312" w:hAnsi="Times New Roman"/>
                <w:sz w:val="28"/>
                <w:szCs w:val="28"/>
              </w:rPr>
              <w:sym w:font="Wingdings" w:char="F0FE"/>
            </w:r>
            <w:r>
              <w:rPr>
                <w:rFonts w:hint="eastAsia" w:ascii="仿宋_GB2312" w:hAnsi="Times New Roman"/>
                <w:sz w:val="28"/>
                <w:szCs w:val="28"/>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tcPr>
          <w:p>
            <w:pPr>
              <w:spacing w:line="500" w:lineRule="exact"/>
              <w:rPr>
                <w:rFonts w:ascii="仿宋_GB2312" w:hAnsi="Times New Roman"/>
                <w:sz w:val="28"/>
                <w:szCs w:val="28"/>
              </w:rPr>
            </w:pPr>
          </w:p>
        </w:tc>
        <w:tc>
          <w:tcPr>
            <w:tcW w:w="6949" w:type="dxa"/>
            <w:gridSpan w:val="2"/>
          </w:tcPr>
          <w:p>
            <w:pPr>
              <w:spacing w:line="500" w:lineRule="exact"/>
              <w:rPr>
                <w:rFonts w:ascii="仿宋_GB2312" w:hAnsi="Times New Roman"/>
                <w:sz w:val="28"/>
                <w:szCs w:val="28"/>
              </w:rPr>
            </w:pPr>
            <w:r>
              <w:rPr>
                <w:rFonts w:ascii="仿宋_GB2312" w:hAnsi="Times New Roman"/>
                <w:sz w:val="28"/>
                <w:szCs w:val="28"/>
              </w:rPr>
              <w:sym w:font="Wingdings" w:char="F0FE"/>
            </w:r>
            <w:r>
              <w:rPr>
                <w:rFonts w:hint="eastAsia" w:ascii="仿宋_GB2312" w:hAnsi="Times New Roman"/>
                <w:sz w:val="28"/>
                <w:szCs w:val="28"/>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809" w:type="dxa"/>
            <w:vMerge w:val="continue"/>
            <w:shd w:val="clear" w:color="auto" w:fill="D9D9D9"/>
          </w:tcPr>
          <w:p>
            <w:pPr>
              <w:spacing w:line="500" w:lineRule="exact"/>
              <w:rPr>
                <w:rFonts w:ascii="仿宋_GB2312" w:hAnsi="Times New Roman"/>
                <w:sz w:val="28"/>
                <w:szCs w:val="28"/>
              </w:rPr>
            </w:pPr>
          </w:p>
        </w:tc>
        <w:tc>
          <w:tcPr>
            <w:tcW w:w="6949" w:type="dxa"/>
            <w:gridSpan w:val="2"/>
          </w:tcPr>
          <w:p>
            <w:pPr>
              <w:spacing w:line="500" w:lineRule="exact"/>
              <w:rPr>
                <w:rFonts w:ascii="仿宋_GB2312" w:hAnsi="Times New Roman"/>
                <w:sz w:val="28"/>
                <w:szCs w:val="28"/>
              </w:rPr>
            </w:pPr>
            <w:r>
              <w:rPr>
                <w:rFonts w:hint="eastAsia" w:ascii="仿宋_GB2312" w:hAnsi="Times New Roman"/>
                <w:sz w:val="28"/>
                <w:szCs w:val="28"/>
              </w:rPr>
              <w:t>□</w:t>
            </w:r>
            <w:r>
              <w:rPr>
                <w:rFonts w:ascii="仿宋_GB2312" w:hAnsi="Times New Roman"/>
                <w:sz w:val="28"/>
                <w:szCs w:val="28"/>
              </w:rPr>
              <w:t>3</w:t>
            </w:r>
            <w:r>
              <w:rPr>
                <w:rFonts w:hint="eastAsia" w:ascii="仿宋_GB2312" w:hAnsi="Times New Roman"/>
                <w:sz w:val="28"/>
                <w:szCs w:val="28"/>
              </w:rPr>
              <w:t>、不在同一相关市场、也不存在上下游关系的参与集中的经营者，在与交易有关的每个市场所占的份额均小于</w:t>
            </w:r>
            <w:r>
              <w:rPr>
                <w:rFonts w:ascii="仿宋_GB2312" w:hAnsi="Times New Roman"/>
                <w:sz w:val="28"/>
                <w:szCs w:val="28"/>
              </w:rPr>
              <w:t>25%</w:t>
            </w:r>
            <w:r>
              <w:rPr>
                <w:rFonts w:hint="eastAsia" w:ascii="仿宋_GB2312" w:hAnsi="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tcPr>
          <w:p>
            <w:pPr>
              <w:spacing w:line="500" w:lineRule="exact"/>
              <w:rPr>
                <w:rFonts w:ascii="仿宋_GB2312" w:hAnsi="Times New Roman"/>
                <w:sz w:val="28"/>
                <w:szCs w:val="28"/>
              </w:rPr>
            </w:pPr>
          </w:p>
        </w:tc>
        <w:tc>
          <w:tcPr>
            <w:tcW w:w="6949" w:type="dxa"/>
            <w:gridSpan w:val="2"/>
          </w:tcPr>
          <w:p>
            <w:pPr>
              <w:spacing w:line="500" w:lineRule="exact"/>
              <w:rPr>
                <w:rFonts w:ascii="仿宋_GB2312" w:hAnsi="Times New Roman"/>
                <w:sz w:val="28"/>
                <w:szCs w:val="28"/>
              </w:rPr>
            </w:pPr>
            <w:r>
              <w:rPr>
                <w:rFonts w:hint="eastAsia" w:ascii="仿宋_GB2312" w:hAnsi="Times New Roman"/>
                <w:sz w:val="28"/>
                <w:szCs w:val="28"/>
              </w:rPr>
              <w:t>□</w:t>
            </w:r>
            <w:r>
              <w:rPr>
                <w:rFonts w:ascii="仿宋_GB2312" w:hAnsi="Times New Roman"/>
                <w:sz w:val="28"/>
                <w:szCs w:val="28"/>
              </w:rPr>
              <w:t>4</w:t>
            </w:r>
            <w:r>
              <w:rPr>
                <w:rFonts w:hint="eastAsia" w:ascii="仿宋_GB2312" w:hAnsi="Times New Roman"/>
                <w:sz w:val="28"/>
                <w:szCs w:val="28"/>
              </w:rPr>
              <w:t>、参与集中的经营者在中国境外设立合营企业，合营企业不在中国境内从事经济活动。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tcPr>
          <w:p>
            <w:pPr>
              <w:spacing w:line="500" w:lineRule="exact"/>
              <w:rPr>
                <w:rFonts w:ascii="仿宋_GB2312" w:hAnsi="Times New Roman"/>
                <w:sz w:val="28"/>
                <w:szCs w:val="28"/>
              </w:rPr>
            </w:pPr>
          </w:p>
        </w:tc>
        <w:tc>
          <w:tcPr>
            <w:tcW w:w="6949" w:type="dxa"/>
            <w:gridSpan w:val="2"/>
          </w:tcPr>
          <w:p>
            <w:pPr>
              <w:spacing w:line="500" w:lineRule="exact"/>
              <w:rPr>
                <w:rFonts w:ascii="仿宋_GB2312" w:hAnsi="Times New Roman"/>
                <w:sz w:val="28"/>
                <w:szCs w:val="28"/>
              </w:rPr>
            </w:pPr>
            <w:r>
              <w:rPr>
                <w:rFonts w:hint="eastAsia" w:ascii="仿宋_GB2312" w:hAnsi="Times New Roman"/>
                <w:sz w:val="28"/>
                <w:szCs w:val="28"/>
              </w:rPr>
              <w:t>□</w:t>
            </w:r>
            <w:r>
              <w:rPr>
                <w:rFonts w:ascii="仿宋_GB2312" w:hAnsi="Times New Roman"/>
                <w:sz w:val="28"/>
                <w:szCs w:val="28"/>
              </w:rPr>
              <w:t>5</w:t>
            </w:r>
            <w:r>
              <w:rPr>
                <w:rFonts w:hint="eastAsia" w:ascii="仿宋_GB2312" w:hAnsi="Times New Roman"/>
                <w:sz w:val="28"/>
                <w:szCs w:val="28"/>
              </w:rPr>
              <w:t>、参与集中的经营者收购境外企业股权或资产的，该境外企业不在中国境内从事经济活动。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tcPr>
          <w:p>
            <w:pPr>
              <w:spacing w:line="500" w:lineRule="exact"/>
              <w:rPr>
                <w:rFonts w:ascii="仿宋_GB2312" w:hAnsi="Times New Roman"/>
                <w:sz w:val="28"/>
                <w:szCs w:val="28"/>
              </w:rPr>
            </w:pPr>
          </w:p>
        </w:tc>
        <w:tc>
          <w:tcPr>
            <w:tcW w:w="6949" w:type="dxa"/>
            <w:gridSpan w:val="2"/>
          </w:tcPr>
          <w:p>
            <w:pPr>
              <w:spacing w:line="500" w:lineRule="exact"/>
              <w:rPr>
                <w:rFonts w:ascii="仿宋_GB2312" w:hAnsi="Times New Roman"/>
                <w:sz w:val="28"/>
                <w:szCs w:val="28"/>
              </w:rPr>
            </w:pPr>
            <w:r>
              <w:rPr>
                <w:rFonts w:hint="eastAsia" w:ascii="仿宋_GB2312" w:hAnsi="Times New Roman"/>
                <w:sz w:val="28"/>
                <w:szCs w:val="28"/>
              </w:rPr>
              <w:t>□</w:t>
            </w:r>
            <w:r>
              <w:rPr>
                <w:rFonts w:ascii="仿宋_GB2312" w:hAnsi="Times New Roman"/>
                <w:sz w:val="28"/>
                <w:szCs w:val="28"/>
              </w:rPr>
              <w:t>6</w:t>
            </w:r>
            <w:r>
              <w:rPr>
                <w:rFonts w:hint="eastAsia" w:ascii="仿宋_GB2312" w:hAnsi="Times New Roman"/>
                <w:sz w:val="28"/>
                <w:szCs w:val="28"/>
              </w:rPr>
              <w:t>、由两个以上的经营者共同控制的合营企业，通过集中被其中一个或一个以上经营者控制。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tcPr>
          <w:p>
            <w:pPr>
              <w:spacing w:line="500" w:lineRule="exact"/>
              <w:rPr>
                <w:rFonts w:ascii="仿宋_GB2312" w:hAnsi="Times New Roman"/>
                <w:sz w:val="28"/>
                <w:szCs w:val="28"/>
              </w:rPr>
            </w:pPr>
            <w:r>
              <w:rPr>
                <w:rFonts w:hint="eastAsia" w:ascii="仿宋_GB2312" w:hAnsi="Times New Roman"/>
                <w:sz w:val="28"/>
                <w:szCs w:val="28"/>
              </w:rPr>
              <w:t>备注</w:t>
            </w:r>
          </w:p>
        </w:tc>
        <w:tc>
          <w:tcPr>
            <w:tcW w:w="6949" w:type="dxa"/>
            <w:gridSpan w:val="2"/>
          </w:tcPr>
          <w:p>
            <w:pPr>
              <w:widowControl/>
              <w:snapToGrid w:val="0"/>
              <w:jc w:val="left"/>
              <w:rPr>
                <w:rFonts w:ascii="仿宋" w:hAnsi="仿宋" w:cs="Arial"/>
                <w:b/>
                <w:bCs/>
                <w:sz w:val="28"/>
                <w:szCs w:val="28"/>
                <w:u w:val="single"/>
              </w:rPr>
            </w:pPr>
            <w:r>
              <w:rPr>
                <w:rFonts w:hint="eastAsia" w:ascii="仿宋" w:hAnsi="仿宋" w:cs="Arial"/>
                <w:b/>
                <w:bCs/>
                <w:sz w:val="28"/>
                <w:szCs w:val="28"/>
                <w:u w:val="single"/>
              </w:rPr>
              <w:t>本项交易涉及以下相关市场：</w:t>
            </w:r>
          </w:p>
          <w:p>
            <w:pPr>
              <w:widowControl/>
              <w:snapToGrid w:val="0"/>
              <w:jc w:val="left"/>
              <w:rPr>
                <w:rFonts w:ascii="仿宋" w:hAnsi="仿宋" w:cs="Arial"/>
                <w:b/>
                <w:bCs/>
                <w:sz w:val="28"/>
                <w:szCs w:val="28"/>
                <w:u w:val="single"/>
              </w:rPr>
            </w:pPr>
            <w:r>
              <w:rPr>
                <w:rFonts w:hint="eastAsia" w:ascii="仿宋" w:hAnsi="仿宋" w:cs="Arial"/>
                <w:b/>
                <w:bCs/>
                <w:sz w:val="28"/>
                <w:szCs w:val="28"/>
                <w:u w:val="single"/>
              </w:rPr>
              <w:t>横向重叠：</w:t>
            </w:r>
          </w:p>
          <w:tbl>
            <w:tblPr>
              <w:tblStyle w:val="8"/>
              <w:tblW w:w="6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9"/>
              <w:gridCol w:w="2455"/>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9" w:type="dxa"/>
                  <w:shd w:val="clear" w:color="auto" w:fill="BEBEBE" w:themeFill="background1" w:themeFillShade="BF"/>
                  <w:vAlign w:val="center"/>
                </w:tcPr>
                <w:p>
                  <w:pPr>
                    <w:widowControl/>
                    <w:snapToGrid w:val="0"/>
                    <w:jc w:val="left"/>
                    <w:rPr>
                      <w:rFonts w:ascii="仿宋" w:hAnsi="仿宋" w:cs="Arial"/>
                      <w:b/>
                      <w:bCs/>
                      <w:sz w:val="28"/>
                      <w:szCs w:val="28"/>
                    </w:rPr>
                  </w:pPr>
                  <w:r>
                    <w:rPr>
                      <w:rFonts w:hint="eastAsia" w:ascii="仿宋" w:hAnsi="仿宋" w:cs="Arial"/>
                      <w:b/>
                      <w:bCs/>
                      <w:sz w:val="28"/>
                      <w:szCs w:val="28"/>
                    </w:rPr>
                    <w:t>相关商品市场</w:t>
                  </w:r>
                </w:p>
              </w:tc>
              <w:tc>
                <w:tcPr>
                  <w:tcW w:w="2455" w:type="dxa"/>
                  <w:shd w:val="clear" w:color="auto" w:fill="BEBEBE" w:themeFill="background1" w:themeFillShade="BF"/>
                  <w:vAlign w:val="center"/>
                </w:tcPr>
                <w:p>
                  <w:pPr>
                    <w:widowControl/>
                    <w:snapToGrid w:val="0"/>
                    <w:jc w:val="left"/>
                    <w:rPr>
                      <w:rFonts w:ascii="仿宋" w:hAnsi="仿宋" w:cs="Arial"/>
                      <w:b/>
                      <w:bCs/>
                      <w:sz w:val="28"/>
                      <w:szCs w:val="28"/>
                    </w:rPr>
                  </w:pPr>
                  <w:r>
                    <w:rPr>
                      <w:rFonts w:hint="eastAsia" w:ascii="仿宋" w:hAnsi="仿宋" w:cs="Arial"/>
                      <w:b/>
                      <w:bCs/>
                      <w:sz w:val="28"/>
                      <w:szCs w:val="28"/>
                    </w:rPr>
                    <w:t>相关地域市场</w:t>
                  </w:r>
                </w:p>
              </w:tc>
              <w:tc>
                <w:tcPr>
                  <w:tcW w:w="2343" w:type="dxa"/>
                  <w:shd w:val="clear" w:color="auto" w:fill="BEBEBE" w:themeFill="background1" w:themeFillShade="BF"/>
                </w:tcPr>
                <w:p>
                  <w:pPr>
                    <w:widowControl/>
                    <w:snapToGrid w:val="0"/>
                    <w:jc w:val="left"/>
                    <w:rPr>
                      <w:rFonts w:ascii="仿宋" w:hAnsi="仿宋" w:cs="Arial"/>
                      <w:b/>
                      <w:bCs/>
                      <w:sz w:val="28"/>
                      <w:szCs w:val="28"/>
                    </w:rPr>
                  </w:pPr>
                  <w:r>
                    <w:rPr>
                      <w:rFonts w:ascii="仿宋" w:hAnsi="仿宋" w:cs="Arial"/>
                      <w:b/>
                      <w:bCs/>
                      <w:sz w:val="28"/>
                      <w:szCs w:val="28"/>
                    </w:rPr>
                    <w:t>2022</w:t>
                  </w:r>
                  <w:r>
                    <w:rPr>
                      <w:rFonts w:hint="eastAsia" w:ascii="仿宋" w:hAnsi="仿宋" w:cs="Arial"/>
                      <w:b/>
                      <w:bCs/>
                      <w:sz w:val="28"/>
                      <w:szCs w:val="28"/>
                    </w:rPr>
                    <w:t>年市场份额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9" w:type="dxa"/>
                  <w:shd w:val="clear" w:color="auto" w:fill="auto"/>
                  <w:vAlign w:val="center"/>
                </w:tcPr>
                <w:p>
                  <w:pPr>
                    <w:widowControl/>
                    <w:snapToGrid w:val="0"/>
                    <w:jc w:val="left"/>
                    <w:rPr>
                      <w:rFonts w:ascii="仿宋" w:hAnsi="仿宋" w:cs="Arial"/>
                      <w:i/>
                      <w:iCs/>
                      <w:sz w:val="28"/>
                      <w:szCs w:val="28"/>
                    </w:rPr>
                  </w:pPr>
                  <w:r>
                    <w:rPr>
                      <w:rFonts w:hint="eastAsia" w:ascii="仿宋" w:hAnsi="仿宋" w:cs="Arial"/>
                      <w:i/>
                      <w:iCs/>
                      <w:sz w:val="28"/>
                      <w:szCs w:val="28"/>
                    </w:rPr>
                    <w:t>集装箱堆场服务市场</w:t>
                  </w:r>
                </w:p>
              </w:tc>
              <w:tc>
                <w:tcPr>
                  <w:tcW w:w="2455" w:type="dxa"/>
                  <w:shd w:val="clear" w:color="auto" w:fill="auto"/>
                  <w:vAlign w:val="center"/>
                </w:tcPr>
                <w:p>
                  <w:pPr>
                    <w:widowControl/>
                    <w:snapToGrid w:val="0"/>
                    <w:jc w:val="left"/>
                    <w:rPr>
                      <w:rFonts w:hint="eastAsia" w:ascii="仿宋" w:hAnsi="仿宋" w:eastAsia="宋体" w:cs="Arial"/>
                      <w:i/>
                      <w:iCs/>
                      <w:sz w:val="28"/>
                      <w:szCs w:val="28"/>
                      <w:lang w:eastAsia="zh-CN"/>
                    </w:rPr>
                  </w:pPr>
                  <w:r>
                    <w:rPr>
                      <w:rFonts w:hint="eastAsia" w:ascii="仿宋" w:hAnsi="仿宋" w:cs="Arial"/>
                      <w:i/>
                      <w:iCs/>
                      <w:sz w:val="28"/>
                      <w:szCs w:val="28"/>
                    </w:rPr>
                    <w:t>上海港</w:t>
                  </w:r>
                  <w:r>
                    <w:rPr>
                      <w:rFonts w:hint="eastAsia" w:ascii="仿宋" w:hAnsi="仿宋" w:cs="Arial"/>
                      <w:i/>
                      <w:iCs/>
                      <w:sz w:val="28"/>
                      <w:szCs w:val="28"/>
                      <w:lang w:eastAsia="zh-CN"/>
                    </w:rPr>
                    <w:t>区</w:t>
                  </w:r>
                </w:p>
              </w:tc>
              <w:tc>
                <w:tcPr>
                  <w:tcW w:w="2343" w:type="dxa"/>
                </w:tcPr>
                <w:p>
                  <w:pPr>
                    <w:widowControl/>
                    <w:snapToGrid w:val="0"/>
                    <w:jc w:val="left"/>
                    <w:rPr>
                      <w:rFonts w:ascii="仿宋" w:hAnsi="仿宋" w:cs="Arial"/>
                      <w:i/>
                      <w:iCs/>
                      <w:sz w:val="28"/>
                      <w:szCs w:val="28"/>
                    </w:rPr>
                  </w:pPr>
                  <w:r>
                    <w:rPr>
                      <w:rFonts w:hint="eastAsia" w:ascii="仿宋" w:hAnsi="仿宋" w:cs="Arial"/>
                      <w:i/>
                      <w:iCs/>
                      <w:sz w:val="28"/>
                      <w:szCs w:val="28"/>
                    </w:rPr>
                    <w:t>同盛物流：5</w:t>
                  </w:r>
                  <w:r>
                    <w:rPr>
                      <w:rFonts w:ascii="仿宋" w:hAnsi="仿宋" w:cs="Arial"/>
                      <w:i/>
                      <w:iCs/>
                      <w:sz w:val="28"/>
                      <w:szCs w:val="28"/>
                    </w:rPr>
                    <w:t>-10%</w:t>
                  </w:r>
                </w:p>
                <w:p>
                  <w:pPr>
                    <w:widowControl/>
                    <w:snapToGrid w:val="0"/>
                    <w:jc w:val="left"/>
                    <w:rPr>
                      <w:rFonts w:ascii="仿宋" w:hAnsi="仿宋" w:cs="Arial"/>
                      <w:i/>
                      <w:iCs/>
                      <w:sz w:val="28"/>
                      <w:szCs w:val="28"/>
                    </w:rPr>
                  </w:pPr>
                  <w:r>
                    <w:rPr>
                      <w:rFonts w:hint="eastAsia" w:ascii="仿宋" w:hAnsi="仿宋" w:cs="Arial"/>
                      <w:i/>
                      <w:iCs/>
                      <w:sz w:val="28"/>
                      <w:szCs w:val="28"/>
                    </w:rPr>
                    <w:t>海丰国际：0</w:t>
                  </w:r>
                  <w:r>
                    <w:rPr>
                      <w:rFonts w:ascii="仿宋" w:hAnsi="仿宋" w:cs="Arial"/>
                      <w:i/>
                      <w:iCs/>
                      <w:sz w:val="28"/>
                      <w:szCs w:val="28"/>
                    </w:rPr>
                    <w:t>-2%</w:t>
                  </w:r>
                </w:p>
                <w:p>
                  <w:pPr>
                    <w:widowControl/>
                    <w:snapToGrid w:val="0"/>
                    <w:jc w:val="left"/>
                    <w:rPr>
                      <w:rFonts w:ascii="仿宋" w:hAnsi="仿宋" w:cs="Arial"/>
                      <w:i/>
                      <w:iCs/>
                      <w:sz w:val="28"/>
                      <w:szCs w:val="28"/>
                    </w:rPr>
                  </w:pPr>
                  <w:r>
                    <w:rPr>
                      <w:rFonts w:hint="eastAsia" w:ascii="仿宋" w:hAnsi="仿宋" w:cs="Arial"/>
                      <w:i/>
                      <w:iCs/>
                      <w:sz w:val="28"/>
                      <w:szCs w:val="28"/>
                    </w:rPr>
                    <w:t>双方合计：</w:t>
                  </w:r>
                  <w:r>
                    <w:rPr>
                      <w:rFonts w:ascii="仿宋" w:hAnsi="仿宋" w:cs="Arial"/>
                      <w:i/>
                      <w:iCs/>
                      <w:sz w:val="28"/>
                      <w:szCs w:val="28"/>
                    </w:rPr>
                    <w:t>7</w:t>
                  </w:r>
                  <w:r>
                    <w:rPr>
                      <w:rFonts w:hint="eastAsia" w:ascii="仿宋" w:hAnsi="仿宋" w:cs="Arial"/>
                      <w:i/>
                      <w:iCs/>
                      <w:sz w:val="28"/>
                      <w:szCs w:val="28"/>
                    </w:rPr>
                    <w:t>-</w:t>
                  </w:r>
                  <w:r>
                    <w:rPr>
                      <w:rFonts w:ascii="仿宋" w:hAnsi="仿宋" w:cs="Arial"/>
                      <w:i/>
                      <w:iCs/>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9" w:type="dxa"/>
                  <w:shd w:val="clear" w:color="auto" w:fill="auto"/>
                  <w:vAlign w:val="center"/>
                </w:tcPr>
                <w:p>
                  <w:pPr>
                    <w:widowControl/>
                    <w:snapToGrid w:val="0"/>
                    <w:jc w:val="left"/>
                    <w:rPr>
                      <w:rFonts w:hint="eastAsia" w:ascii="仿宋" w:hAnsi="仿宋" w:cs="Arial"/>
                      <w:i/>
                      <w:iCs/>
                      <w:sz w:val="28"/>
                      <w:szCs w:val="28"/>
                    </w:rPr>
                  </w:pPr>
                  <w:r>
                    <w:rPr>
                      <w:rFonts w:hint="eastAsia" w:ascii="仿宋" w:hAnsi="仿宋" w:cs="Arial"/>
                      <w:i/>
                      <w:iCs/>
                      <w:sz w:val="28"/>
                      <w:szCs w:val="28"/>
                    </w:rPr>
                    <w:t>国际</w:t>
                  </w:r>
                  <w:r>
                    <w:rPr>
                      <w:rFonts w:hint="eastAsia" w:ascii="仿宋" w:hAnsi="仿宋" w:cs="Arial"/>
                      <w:i/>
                      <w:iCs/>
                      <w:sz w:val="28"/>
                      <w:szCs w:val="28"/>
                      <w:lang w:eastAsia="zh-CN"/>
                    </w:rPr>
                    <w:t>海上货运</w:t>
                  </w:r>
                  <w:r>
                    <w:rPr>
                      <w:rFonts w:hint="eastAsia" w:ascii="仿宋" w:hAnsi="仿宋" w:cs="Arial"/>
                      <w:i/>
                      <w:iCs/>
                      <w:sz w:val="28"/>
                      <w:szCs w:val="28"/>
                    </w:rPr>
                    <w:t>代理市场</w:t>
                  </w:r>
                </w:p>
              </w:tc>
              <w:tc>
                <w:tcPr>
                  <w:tcW w:w="2455" w:type="dxa"/>
                  <w:shd w:val="clear" w:color="auto" w:fill="auto"/>
                  <w:vAlign w:val="center"/>
                </w:tcPr>
                <w:p>
                  <w:pPr>
                    <w:widowControl/>
                    <w:snapToGrid w:val="0"/>
                    <w:jc w:val="left"/>
                    <w:rPr>
                      <w:rFonts w:hint="eastAsia" w:ascii="仿宋" w:hAnsi="仿宋" w:cs="Arial"/>
                      <w:i/>
                      <w:iCs/>
                      <w:sz w:val="28"/>
                      <w:szCs w:val="28"/>
                    </w:rPr>
                  </w:pPr>
                  <w:r>
                    <w:rPr>
                      <w:rFonts w:hint="eastAsia" w:ascii="仿宋" w:hAnsi="仿宋" w:cs="Arial"/>
                      <w:i/>
                      <w:iCs/>
                      <w:sz w:val="28"/>
                      <w:szCs w:val="28"/>
                    </w:rPr>
                    <w:t>中国境内</w:t>
                  </w:r>
                </w:p>
              </w:tc>
              <w:tc>
                <w:tcPr>
                  <w:tcW w:w="2343" w:type="dxa"/>
                </w:tcPr>
                <w:p>
                  <w:pPr>
                    <w:widowControl/>
                    <w:snapToGrid w:val="0"/>
                    <w:rPr>
                      <w:rFonts w:ascii="仿宋" w:hAnsi="仿宋" w:cs="Arial"/>
                      <w:i/>
                      <w:iCs/>
                      <w:sz w:val="28"/>
                      <w:szCs w:val="28"/>
                    </w:rPr>
                  </w:pPr>
                  <w:r>
                    <w:rPr>
                      <w:rFonts w:hint="eastAsia" w:ascii="仿宋" w:hAnsi="仿宋" w:cs="Arial"/>
                      <w:i/>
                      <w:iCs/>
                      <w:sz w:val="28"/>
                      <w:szCs w:val="28"/>
                    </w:rPr>
                    <w:t>海丰国际：0</w:t>
                  </w:r>
                  <w:r>
                    <w:rPr>
                      <w:rFonts w:ascii="仿宋" w:hAnsi="仿宋" w:cs="Arial"/>
                      <w:i/>
                      <w:iCs/>
                      <w:sz w:val="28"/>
                      <w:szCs w:val="28"/>
                    </w:rPr>
                    <w:t>-4%</w:t>
                  </w:r>
                </w:p>
                <w:p>
                  <w:pPr>
                    <w:widowControl/>
                    <w:snapToGrid w:val="0"/>
                    <w:rPr>
                      <w:rFonts w:ascii="仿宋" w:hAnsi="仿宋" w:cs="Arial"/>
                      <w:i/>
                      <w:iCs/>
                      <w:sz w:val="28"/>
                      <w:szCs w:val="28"/>
                    </w:rPr>
                  </w:pPr>
                  <w:r>
                    <w:rPr>
                      <w:rFonts w:hint="eastAsia" w:ascii="仿宋" w:hAnsi="仿宋" w:cs="Arial"/>
                      <w:i/>
                      <w:iCs/>
                      <w:sz w:val="28"/>
                      <w:szCs w:val="28"/>
                    </w:rPr>
                    <w:t>同盛物流：0-1%</w:t>
                  </w:r>
                </w:p>
                <w:p>
                  <w:pPr>
                    <w:widowControl/>
                    <w:snapToGrid w:val="0"/>
                    <w:rPr>
                      <w:rFonts w:hint="eastAsia" w:ascii="仿宋" w:hAnsi="仿宋" w:cs="Arial"/>
                      <w:i/>
                      <w:iCs/>
                      <w:sz w:val="28"/>
                      <w:szCs w:val="28"/>
                    </w:rPr>
                  </w:pPr>
                  <w:r>
                    <w:rPr>
                      <w:rFonts w:hint="eastAsia" w:ascii="仿宋" w:hAnsi="仿宋" w:cs="Arial"/>
                      <w:i/>
                      <w:iCs/>
                      <w:sz w:val="28"/>
                      <w:szCs w:val="28"/>
                    </w:rPr>
                    <w:t>双方合计：0</w:t>
                  </w:r>
                  <w:r>
                    <w:rPr>
                      <w:rFonts w:ascii="仿宋" w:hAnsi="仿宋" w:cs="Arial"/>
                      <w:i/>
                      <w:iCs/>
                      <w:sz w:val="28"/>
                      <w:szCs w:val="28"/>
                    </w:rPr>
                    <w:t>-5%</w:t>
                  </w:r>
                </w:p>
              </w:tc>
            </w:tr>
          </w:tbl>
          <w:p>
            <w:pPr>
              <w:widowControl/>
              <w:adjustRightInd w:val="0"/>
              <w:snapToGrid w:val="0"/>
              <w:rPr>
                <w:rFonts w:ascii="宋体" w:hAnsi="宋体" w:cs="宋体"/>
                <w:b/>
                <w:color w:val="000000"/>
                <w:kern w:val="0"/>
                <w:sz w:val="24"/>
                <w:szCs w:val="24"/>
                <w:lang w:val="en-GB" w:bidi="ar-AE"/>
              </w:rPr>
            </w:pPr>
            <w:r>
              <w:rPr>
                <w:rFonts w:hint="eastAsia" w:ascii="宋体" w:hAnsi="宋体" w:cs="宋体"/>
                <w:b/>
                <w:color w:val="000000"/>
                <w:kern w:val="0"/>
                <w:sz w:val="24"/>
                <w:szCs w:val="24"/>
                <w:lang w:val="en-GB" w:bidi="ar-AE"/>
              </w:rPr>
              <w:t>纵向关联：</w:t>
            </w:r>
          </w:p>
          <w:tbl>
            <w:tblPr>
              <w:tblStyle w:val="9"/>
              <w:tblW w:w="6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6"/>
              <w:gridCol w:w="241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tcPr>
                <w:p>
                  <w:pPr>
                    <w:widowControl/>
                    <w:snapToGrid w:val="0"/>
                    <w:jc w:val="left"/>
                    <w:rPr>
                      <w:rFonts w:ascii="仿宋" w:hAnsi="仿宋" w:cs="Arial"/>
                      <w:b/>
                      <w:bCs/>
                      <w:sz w:val="28"/>
                      <w:szCs w:val="28"/>
                    </w:rPr>
                  </w:pPr>
                  <w:r>
                    <w:rPr>
                      <w:rFonts w:hint="eastAsia" w:ascii="仿宋" w:hAnsi="仿宋" w:cs="Arial"/>
                      <w:b/>
                      <w:bCs/>
                      <w:sz w:val="28"/>
                      <w:szCs w:val="28"/>
                    </w:rPr>
                    <w:t>相关商品市场</w:t>
                  </w:r>
                </w:p>
              </w:tc>
              <w:tc>
                <w:tcPr>
                  <w:tcW w:w="2414" w:type="dxa"/>
                </w:tcPr>
                <w:p>
                  <w:pPr>
                    <w:widowControl/>
                    <w:snapToGrid w:val="0"/>
                    <w:jc w:val="left"/>
                    <w:rPr>
                      <w:rFonts w:ascii="仿宋" w:hAnsi="仿宋" w:cs="Arial"/>
                      <w:b/>
                      <w:bCs/>
                      <w:sz w:val="28"/>
                      <w:szCs w:val="28"/>
                    </w:rPr>
                  </w:pPr>
                  <w:r>
                    <w:rPr>
                      <w:rFonts w:hint="eastAsia" w:ascii="仿宋" w:hAnsi="仿宋" w:cs="Arial"/>
                      <w:b/>
                      <w:bCs/>
                      <w:sz w:val="28"/>
                      <w:szCs w:val="28"/>
                    </w:rPr>
                    <w:t>相关地域市场</w:t>
                  </w:r>
                </w:p>
              </w:tc>
              <w:tc>
                <w:tcPr>
                  <w:tcW w:w="2410" w:type="dxa"/>
                </w:tcPr>
                <w:p>
                  <w:pPr>
                    <w:widowControl/>
                    <w:snapToGrid w:val="0"/>
                    <w:jc w:val="left"/>
                    <w:rPr>
                      <w:rFonts w:ascii="仿宋" w:hAnsi="仿宋" w:cs="Arial"/>
                      <w:b/>
                      <w:bCs/>
                      <w:sz w:val="28"/>
                      <w:szCs w:val="28"/>
                    </w:rPr>
                  </w:pPr>
                  <w:r>
                    <w:rPr>
                      <w:rFonts w:ascii="仿宋" w:hAnsi="仿宋" w:cs="Arial"/>
                      <w:b/>
                      <w:bCs/>
                      <w:sz w:val="28"/>
                      <w:szCs w:val="28"/>
                    </w:rPr>
                    <w:t>2022</w:t>
                  </w:r>
                  <w:r>
                    <w:rPr>
                      <w:rFonts w:hint="eastAsia" w:ascii="仿宋" w:hAnsi="仿宋" w:cs="Arial"/>
                      <w:b/>
                      <w:bCs/>
                      <w:sz w:val="28"/>
                      <w:szCs w:val="28"/>
                    </w:rPr>
                    <w:t>年市场份额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top"/>
                </w:tcPr>
                <w:p>
                  <w:pPr>
                    <w:widowControl/>
                    <w:snapToGrid w:val="0"/>
                    <w:rPr>
                      <w:rFonts w:ascii="仿宋" w:hAnsi="仿宋" w:cs="Arial"/>
                      <w:i/>
                      <w:iCs/>
                      <w:sz w:val="28"/>
                      <w:szCs w:val="28"/>
                    </w:rPr>
                  </w:pPr>
                  <w:r>
                    <w:rPr>
                      <w:rFonts w:hint="eastAsia" w:ascii="仿宋" w:hAnsi="仿宋" w:cs="Arial"/>
                      <w:i/>
                      <w:iCs/>
                      <w:sz w:val="28"/>
                      <w:szCs w:val="28"/>
                    </w:rPr>
                    <w:t>上游：集装箱堆场服务市场</w:t>
                  </w:r>
                </w:p>
                <w:p>
                  <w:pPr>
                    <w:widowControl/>
                    <w:snapToGrid w:val="0"/>
                    <w:rPr>
                      <w:rFonts w:hint="eastAsia" w:ascii="仿宋" w:hAnsi="仿宋" w:eastAsia="宋体" w:cs="Arial"/>
                      <w:i/>
                      <w:iCs/>
                      <w:kern w:val="2"/>
                      <w:sz w:val="28"/>
                      <w:szCs w:val="28"/>
                      <w:lang w:val="en-US" w:eastAsia="zh-CN" w:bidi="ar-SA"/>
                    </w:rPr>
                  </w:pPr>
                  <w:r>
                    <w:rPr>
                      <w:rFonts w:hint="eastAsia" w:ascii="仿宋" w:hAnsi="仿宋" w:cs="Arial"/>
                      <w:i/>
                      <w:iCs/>
                      <w:sz w:val="28"/>
                      <w:szCs w:val="28"/>
                    </w:rPr>
                    <w:t>下游：国际</w:t>
                  </w:r>
                  <w:r>
                    <w:rPr>
                      <w:rFonts w:hint="eastAsia" w:ascii="仿宋" w:hAnsi="仿宋" w:cs="Arial"/>
                      <w:i/>
                      <w:iCs/>
                      <w:sz w:val="28"/>
                      <w:szCs w:val="28"/>
                      <w:lang w:eastAsia="zh-CN"/>
                    </w:rPr>
                    <w:t>海上货运</w:t>
                  </w:r>
                  <w:r>
                    <w:rPr>
                      <w:rFonts w:hint="eastAsia" w:ascii="仿宋" w:hAnsi="仿宋" w:cs="Arial"/>
                      <w:i/>
                      <w:iCs/>
                      <w:sz w:val="28"/>
                      <w:szCs w:val="28"/>
                    </w:rPr>
                    <w:t>代理市场</w:t>
                  </w:r>
                </w:p>
              </w:tc>
              <w:tc>
                <w:tcPr>
                  <w:tcW w:w="2414" w:type="dxa"/>
                  <w:vAlign w:val="top"/>
                </w:tcPr>
                <w:p>
                  <w:pPr>
                    <w:widowControl/>
                    <w:snapToGrid w:val="0"/>
                    <w:rPr>
                      <w:rFonts w:hint="eastAsia" w:ascii="仿宋" w:hAnsi="仿宋" w:eastAsia="宋体" w:cs="Arial"/>
                      <w:i/>
                      <w:iCs/>
                      <w:sz w:val="28"/>
                      <w:szCs w:val="28"/>
                      <w:lang w:val="en" w:eastAsia="zh-CN"/>
                    </w:rPr>
                  </w:pPr>
                  <w:r>
                    <w:rPr>
                      <w:rFonts w:hint="eastAsia" w:ascii="仿宋" w:hAnsi="仿宋" w:cs="Arial"/>
                      <w:i/>
                      <w:iCs/>
                      <w:sz w:val="28"/>
                      <w:szCs w:val="28"/>
                    </w:rPr>
                    <w:t>上游：上海港</w:t>
                  </w:r>
                  <w:r>
                    <w:rPr>
                      <w:rFonts w:hint="eastAsia" w:ascii="仿宋" w:hAnsi="仿宋" w:cs="Arial"/>
                      <w:i/>
                      <w:iCs/>
                      <w:sz w:val="28"/>
                      <w:szCs w:val="28"/>
                      <w:lang w:eastAsia="zh-CN"/>
                    </w:rPr>
                    <w:t>区</w:t>
                  </w:r>
                </w:p>
                <w:p>
                  <w:pPr>
                    <w:widowControl/>
                    <w:snapToGrid w:val="0"/>
                    <w:rPr>
                      <w:rFonts w:hint="eastAsia" w:ascii="仿宋" w:hAnsi="仿宋" w:eastAsia="宋体" w:cs="Arial"/>
                      <w:i/>
                      <w:iCs/>
                      <w:kern w:val="2"/>
                      <w:sz w:val="28"/>
                      <w:szCs w:val="28"/>
                      <w:lang w:val="en-US" w:eastAsia="zh-CN" w:bidi="ar-SA"/>
                    </w:rPr>
                  </w:pPr>
                  <w:r>
                    <w:rPr>
                      <w:rFonts w:hint="eastAsia" w:ascii="仿宋" w:hAnsi="仿宋" w:cs="Arial"/>
                      <w:i/>
                      <w:iCs/>
                      <w:sz w:val="28"/>
                      <w:szCs w:val="28"/>
                    </w:rPr>
                    <w:t>下游：中国境内</w:t>
                  </w:r>
                </w:p>
              </w:tc>
              <w:tc>
                <w:tcPr>
                  <w:tcW w:w="2410" w:type="dxa"/>
                  <w:vAlign w:val="top"/>
                </w:tcPr>
                <w:p>
                  <w:pPr>
                    <w:widowControl/>
                    <w:snapToGrid w:val="0"/>
                    <w:rPr>
                      <w:rFonts w:ascii="仿宋" w:hAnsi="仿宋" w:cs="Arial"/>
                      <w:i/>
                      <w:iCs/>
                      <w:sz w:val="28"/>
                      <w:szCs w:val="28"/>
                    </w:rPr>
                  </w:pPr>
                  <w:r>
                    <w:rPr>
                      <w:rFonts w:hint="eastAsia" w:ascii="仿宋" w:hAnsi="仿宋" w:cs="Arial"/>
                      <w:i/>
                      <w:iCs/>
                      <w:sz w:val="28"/>
                      <w:szCs w:val="28"/>
                    </w:rPr>
                    <w:t>上游：上海港</w:t>
                  </w:r>
                  <w:r>
                    <w:rPr>
                      <w:rFonts w:hint="eastAsia" w:ascii="仿宋" w:hAnsi="仿宋" w:cs="Arial"/>
                      <w:i/>
                      <w:iCs/>
                      <w:sz w:val="28"/>
                      <w:szCs w:val="28"/>
                      <w:lang w:eastAsia="zh-CN"/>
                    </w:rPr>
                    <w:t>区</w:t>
                  </w:r>
                  <w:r>
                    <w:rPr>
                      <w:rFonts w:hint="eastAsia" w:ascii="仿宋" w:hAnsi="仿宋" w:cs="Arial"/>
                      <w:i/>
                      <w:iCs/>
                      <w:sz w:val="28"/>
                      <w:szCs w:val="28"/>
                    </w:rPr>
                    <w:t>集装箱堆场服务市场</w:t>
                  </w:r>
                </w:p>
                <w:p>
                  <w:pPr>
                    <w:widowControl/>
                    <w:snapToGrid w:val="0"/>
                    <w:jc w:val="left"/>
                    <w:rPr>
                      <w:rFonts w:ascii="仿宋" w:hAnsi="仿宋" w:cs="Arial"/>
                      <w:i/>
                      <w:iCs/>
                      <w:sz w:val="28"/>
                      <w:szCs w:val="28"/>
                    </w:rPr>
                  </w:pPr>
                  <w:r>
                    <w:rPr>
                      <w:rFonts w:hint="eastAsia" w:ascii="仿宋" w:hAnsi="仿宋" w:cs="Arial"/>
                      <w:i/>
                      <w:iCs/>
                      <w:sz w:val="28"/>
                      <w:szCs w:val="28"/>
                    </w:rPr>
                    <w:t>同盛物流：5</w:t>
                  </w:r>
                  <w:r>
                    <w:rPr>
                      <w:rFonts w:ascii="仿宋" w:hAnsi="仿宋" w:cs="Arial"/>
                      <w:i/>
                      <w:iCs/>
                      <w:sz w:val="28"/>
                      <w:szCs w:val="28"/>
                    </w:rPr>
                    <w:t>-10%</w:t>
                  </w:r>
                </w:p>
                <w:p>
                  <w:pPr>
                    <w:widowControl/>
                    <w:snapToGrid w:val="0"/>
                    <w:jc w:val="left"/>
                    <w:rPr>
                      <w:rFonts w:ascii="仿宋" w:hAnsi="仿宋" w:cs="Arial"/>
                      <w:i/>
                      <w:iCs/>
                      <w:sz w:val="28"/>
                      <w:szCs w:val="28"/>
                    </w:rPr>
                  </w:pPr>
                  <w:r>
                    <w:rPr>
                      <w:rFonts w:hint="eastAsia" w:ascii="仿宋" w:hAnsi="仿宋" w:cs="Arial"/>
                      <w:i/>
                      <w:iCs/>
                      <w:sz w:val="28"/>
                      <w:szCs w:val="28"/>
                    </w:rPr>
                    <w:t>海丰国际：0</w:t>
                  </w:r>
                  <w:r>
                    <w:rPr>
                      <w:rFonts w:ascii="仿宋" w:hAnsi="仿宋" w:cs="Arial"/>
                      <w:i/>
                      <w:iCs/>
                      <w:sz w:val="28"/>
                      <w:szCs w:val="28"/>
                    </w:rPr>
                    <w:t>-2%</w:t>
                  </w:r>
                </w:p>
                <w:p>
                  <w:pPr>
                    <w:widowControl/>
                    <w:snapToGrid w:val="0"/>
                    <w:rPr>
                      <w:rFonts w:ascii="仿宋" w:hAnsi="仿宋" w:cs="Arial"/>
                      <w:i/>
                      <w:iCs/>
                      <w:sz w:val="28"/>
                      <w:szCs w:val="28"/>
                    </w:rPr>
                  </w:pPr>
                  <w:r>
                    <w:rPr>
                      <w:rFonts w:hint="eastAsia" w:ascii="仿宋" w:hAnsi="仿宋" w:cs="Arial"/>
                      <w:i/>
                      <w:iCs/>
                      <w:sz w:val="28"/>
                      <w:szCs w:val="28"/>
                    </w:rPr>
                    <w:t>双方合计：7-</w:t>
                  </w:r>
                  <w:r>
                    <w:rPr>
                      <w:rFonts w:ascii="仿宋" w:hAnsi="仿宋" w:cs="Arial"/>
                      <w:i/>
                      <w:iCs/>
                      <w:sz w:val="28"/>
                      <w:szCs w:val="28"/>
                    </w:rPr>
                    <w:t>12%</w:t>
                  </w:r>
                </w:p>
                <w:p>
                  <w:pPr>
                    <w:widowControl/>
                    <w:snapToGrid w:val="0"/>
                    <w:rPr>
                      <w:rFonts w:ascii="仿宋" w:hAnsi="仿宋" w:cs="Arial"/>
                      <w:i/>
                      <w:iCs/>
                      <w:sz w:val="28"/>
                      <w:szCs w:val="28"/>
                    </w:rPr>
                  </w:pPr>
                  <w:r>
                    <w:rPr>
                      <w:rFonts w:hint="eastAsia" w:ascii="仿宋" w:hAnsi="仿宋" w:cs="Arial"/>
                      <w:i/>
                      <w:iCs/>
                      <w:sz w:val="28"/>
                      <w:szCs w:val="28"/>
                    </w:rPr>
                    <w:t>下游：中国境内国际</w:t>
                  </w:r>
                  <w:r>
                    <w:rPr>
                      <w:rFonts w:hint="eastAsia" w:ascii="仿宋" w:hAnsi="仿宋" w:cs="Arial"/>
                      <w:i/>
                      <w:iCs/>
                      <w:sz w:val="28"/>
                      <w:szCs w:val="28"/>
                      <w:lang w:eastAsia="zh-CN"/>
                    </w:rPr>
                    <w:t>海上货运</w:t>
                  </w:r>
                  <w:r>
                    <w:rPr>
                      <w:rFonts w:hint="eastAsia" w:ascii="仿宋" w:hAnsi="仿宋" w:cs="Arial"/>
                      <w:i/>
                      <w:iCs/>
                      <w:sz w:val="28"/>
                      <w:szCs w:val="28"/>
                    </w:rPr>
                    <w:t>代理市场</w:t>
                  </w:r>
                  <w:bookmarkStart w:id="0" w:name="_GoBack"/>
                  <w:bookmarkEnd w:id="0"/>
                </w:p>
                <w:p>
                  <w:pPr>
                    <w:widowControl/>
                    <w:snapToGrid w:val="0"/>
                    <w:rPr>
                      <w:rFonts w:ascii="仿宋" w:hAnsi="仿宋" w:cs="Arial"/>
                      <w:i/>
                      <w:iCs/>
                      <w:sz w:val="28"/>
                      <w:szCs w:val="28"/>
                    </w:rPr>
                  </w:pPr>
                  <w:r>
                    <w:rPr>
                      <w:rFonts w:hint="eastAsia" w:ascii="仿宋" w:hAnsi="仿宋" w:cs="Arial"/>
                      <w:i/>
                      <w:iCs/>
                      <w:sz w:val="28"/>
                      <w:szCs w:val="28"/>
                    </w:rPr>
                    <w:t>海丰国际：0</w:t>
                  </w:r>
                  <w:r>
                    <w:rPr>
                      <w:rFonts w:ascii="仿宋" w:hAnsi="仿宋" w:cs="Arial"/>
                      <w:i/>
                      <w:iCs/>
                      <w:sz w:val="28"/>
                      <w:szCs w:val="28"/>
                    </w:rPr>
                    <w:t>-4%</w:t>
                  </w:r>
                </w:p>
                <w:p>
                  <w:pPr>
                    <w:widowControl/>
                    <w:snapToGrid w:val="0"/>
                    <w:rPr>
                      <w:rFonts w:ascii="仿宋" w:hAnsi="仿宋" w:cs="Arial"/>
                      <w:i/>
                      <w:iCs/>
                      <w:sz w:val="28"/>
                      <w:szCs w:val="28"/>
                    </w:rPr>
                  </w:pPr>
                  <w:r>
                    <w:rPr>
                      <w:rFonts w:hint="eastAsia" w:ascii="仿宋" w:hAnsi="仿宋" w:cs="Arial"/>
                      <w:i/>
                      <w:iCs/>
                      <w:sz w:val="28"/>
                      <w:szCs w:val="28"/>
                    </w:rPr>
                    <w:t>同盛物流：0-1%</w:t>
                  </w:r>
                </w:p>
                <w:p>
                  <w:pPr>
                    <w:widowControl/>
                    <w:snapToGrid w:val="0"/>
                    <w:rPr>
                      <w:rFonts w:ascii="仿宋" w:hAnsi="仿宋" w:eastAsia="宋体" w:cs="Arial"/>
                      <w:i/>
                      <w:iCs/>
                      <w:kern w:val="2"/>
                      <w:sz w:val="28"/>
                      <w:szCs w:val="28"/>
                      <w:lang w:val="en-US" w:eastAsia="zh-CN" w:bidi="ar-SA"/>
                    </w:rPr>
                  </w:pPr>
                  <w:r>
                    <w:rPr>
                      <w:rFonts w:hint="eastAsia" w:ascii="仿宋" w:hAnsi="仿宋" w:cs="Arial"/>
                      <w:i/>
                      <w:iCs/>
                      <w:sz w:val="28"/>
                      <w:szCs w:val="28"/>
                    </w:rPr>
                    <w:t>双方合计：0</w:t>
                  </w:r>
                  <w:r>
                    <w:rPr>
                      <w:rFonts w:ascii="仿宋" w:hAnsi="仿宋" w:cs="Arial"/>
                      <w:i/>
                      <w:iCs/>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tcBorders>
                    <w:top w:val="single" w:color="auto" w:sz="4" w:space="0"/>
                    <w:left w:val="single" w:color="auto" w:sz="4" w:space="0"/>
                    <w:bottom w:val="single" w:color="auto" w:sz="4" w:space="0"/>
                    <w:right w:val="single" w:color="auto" w:sz="4" w:space="0"/>
                  </w:tcBorders>
                </w:tcPr>
                <w:p>
                  <w:pPr>
                    <w:widowControl/>
                    <w:snapToGrid w:val="0"/>
                    <w:rPr>
                      <w:rFonts w:ascii="仿宋" w:hAnsi="仿宋" w:cs="Arial"/>
                      <w:i/>
                      <w:iCs/>
                      <w:sz w:val="28"/>
                      <w:szCs w:val="28"/>
                    </w:rPr>
                  </w:pPr>
                  <w:r>
                    <w:rPr>
                      <w:rFonts w:hint="eastAsia" w:ascii="仿宋" w:hAnsi="仿宋" w:cs="Arial"/>
                      <w:i/>
                      <w:iCs/>
                      <w:sz w:val="28"/>
                      <w:szCs w:val="28"/>
                    </w:rPr>
                    <w:t>上游：集装箱堆场服务市场</w:t>
                  </w:r>
                </w:p>
                <w:p>
                  <w:pPr>
                    <w:widowControl/>
                    <w:snapToGrid w:val="0"/>
                    <w:rPr>
                      <w:rFonts w:ascii="仿宋" w:hAnsi="仿宋" w:cs="Arial"/>
                      <w:i/>
                      <w:iCs/>
                      <w:sz w:val="28"/>
                      <w:szCs w:val="28"/>
                    </w:rPr>
                  </w:pPr>
                  <w:r>
                    <w:rPr>
                      <w:rFonts w:hint="eastAsia" w:ascii="仿宋" w:hAnsi="仿宋" w:cs="Arial"/>
                      <w:i/>
                      <w:iCs/>
                      <w:sz w:val="28"/>
                      <w:szCs w:val="28"/>
                    </w:rPr>
                    <w:t>下游：国际集装箱班轮运输市场</w:t>
                  </w:r>
                </w:p>
              </w:tc>
              <w:tc>
                <w:tcPr>
                  <w:tcW w:w="2414" w:type="dxa"/>
                  <w:tcBorders>
                    <w:top w:val="single" w:color="auto" w:sz="4" w:space="0"/>
                    <w:left w:val="single" w:color="auto" w:sz="4" w:space="0"/>
                    <w:bottom w:val="single" w:color="auto" w:sz="4" w:space="0"/>
                    <w:right w:val="single" w:color="auto" w:sz="4" w:space="0"/>
                  </w:tcBorders>
                </w:tcPr>
                <w:p>
                  <w:pPr>
                    <w:widowControl/>
                    <w:snapToGrid w:val="0"/>
                    <w:rPr>
                      <w:rFonts w:hint="eastAsia" w:ascii="仿宋" w:hAnsi="仿宋" w:eastAsia="宋体" w:cs="Arial"/>
                      <w:i/>
                      <w:iCs/>
                      <w:sz w:val="28"/>
                      <w:szCs w:val="28"/>
                      <w:lang w:val="en" w:eastAsia="zh-CN"/>
                    </w:rPr>
                  </w:pPr>
                  <w:r>
                    <w:rPr>
                      <w:rFonts w:hint="eastAsia" w:ascii="仿宋" w:hAnsi="仿宋" w:cs="Arial"/>
                      <w:i/>
                      <w:iCs/>
                      <w:sz w:val="28"/>
                      <w:szCs w:val="28"/>
                    </w:rPr>
                    <w:t>上游：上海港</w:t>
                  </w:r>
                  <w:r>
                    <w:rPr>
                      <w:rFonts w:hint="eastAsia" w:ascii="仿宋" w:hAnsi="仿宋" w:cs="Arial"/>
                      <w:i/>
                      <w:iCs/>
                      <w:sz w:val="28"/>
                      <w:szCs w:val="28"/>
                      <w:lang w:eastAsia="zh-CN"/>
                    </w:rPr>
                    <w:t>区</w:t>
                  </w:r>
                </w:p>
                <w:p>
                  <w:pPr>
                    <w:widowControl/>
                    <w:snapToGrid w:val="0"/>
                    <w:rPr>
                      <w:rFonts w:ascii="仿宋" w:hAnsi="仿宋" w:cs="Arial"/>
                      <w:i/>
                      <w:iCs/>
                      <w:sz w:val="28"/>
                      <w:szCs w:val="28"/>
                    </w:rPr>
                  </w:pPr>
                  <w:r>
                    <w:rPr>
                      <w:rFonts w:hint="eastAsia" w:ascii="仿宋" w:hAnsi="仿宋" w:cs="Arial"/>
                      <w:i/>
                      <w:iCs/>
                      <w:sz w:val="28"/>
                      <w:szCs w:val="28"/>
                    </w:rPr>
                    <w:t>下游：以上海港区为起点或终点的不特定航线集合</w:t>
                  </w:r>
                </w:p>
              </w:tc>
              <w:tc>
                <w:tcPr>
                  <w:tcW w:w="2410" w:type="dxa"/>
                  <w:tcBorders>
                    <w:top w:val="single" w:color="auto" w:sz="4" w:space="0"/>
                    <w:left w:val="single" w:color="auto" w:sz="4" w:space="0"/>
                    <w:bottom w:val="single" w:color="auto" w:sz="4" w:space="0"/>
                    <w:right w:val="single" w:color="auto" w:sz="4" w:space="0"/>
                  </w:tcBorders>
                </w:tcPr>
                <w:p>
                  <w:pPr>
                    <w:widowControl/>
                    <w:snapToGrid w:val="0"/>
                    <w:rPr>
                      <w:rFonts w:ascii="仿宋" w:hAnsi="仿宋" w:cs="Arial"/>
                      <w:i/>
                      <w:iCs/>
                      <w:sz w:val="28"/>
                      <w:szCs w:val="28"/>
                    </w:rPr>
                  </w:pPr>
                  <w:r>
                    <w:rPr>
                      <w:rFonts w:hint="eastAsia" w:ascii="仿宋" w:hAnsi="仿宋" w:cs="Arial"/>
                      <w:i/>
                      <w:iCs/>
                      <w:sz w:val="28"/>
                      <w:szCs w:val="28"/>
                    </w:rPr>
                    <w:t>上游：上海港</w:t>
                  </w:r>
                  <w:r>
                    <w:rPr>
                      <w:rFonts w:hint="eastAsia" w:ascii="仿宋" w:hAnsi="仿宋" w:cs="Arial"/>
                      <w:i/>
                      <w:iCs/>
                      <w:sz w:val="28"/>
                      <w:szCs w:val="28"/>
                      <w:lang w:eastAsia="zh-CN"/>
                    </w:rPr>
                    <w:t>区</w:t>
                  </w:r>
                  <w:r>
                    <w:rPr>
                      <w:rFonts w:hint="eastAsia" w:ascii="仿宋" w:hAnsi="仿宋" w:cs="Arial"/>
                      <w:i/>
                      <w:iCs/>
                      <w:sz w:val="28"/>
                      <w:szCs w:val="28"/>
                    </w:rPr>
                    <w:t>集装箱堆场服务市场</w:t>
                  </w:r>
                </w:p>
                <w:p>
                  <w:pPr>
                    <w:widowControl/>
                    <w:snapToGrid w:val="0"/>
                    <w:jc w:val="left"/>
                    <w:rPr>
                      <w:rFonts w:ascii="仿宋" w:hAnsi="仿宋" w:cs="Arial"/>
                      <w:i/>
                      <w:iCs/>
                      <w:sz w:val="28"/>
                      <w:szCs w:val="28"/>
                    </w:rPr>
                  </w:pPr>
                  <w:r>
                    <w:rPr>
                      <w:rFonts w:hint="eastAsia" w:ascii="仿宋" w:hAnsi="仿宋" w:cs="Arial"/>
                      <w:i/>
                      <w:iCs/>
                      <w:sz w:val="28"/>
                      <w:szCs w:val="28"/>
                    </w:rPr>
                    <w:t>同盛物流：5</w:t>
                  </w:r>
                  <w:r>
                    <w:rPr>
                      <w:rFonts w:ascii="仿宋" w:hAnsi="仿宋" w:cs="Arial"/>
                      <w:i/>
                      <w:iCs/>
                      <w:sz w:val="28"/>
                      <w:szCs w:val="28"/>
                    </w:rPr>
                    <w:t>-10%</w:t>
                  </w:r>
                </w:p>
                <w:p>
                  <w:pPr>
                    <w:widowControl/>
                    <w:snapToGrid w:val="0"/>
                    <w:jc w:val="left"/>
                    <w:rPr>
                      <w:rFonts w:ascii="仿宋" w:hAnsi="仿宋" w:cs="Arial"/>
                      <w:i/>
                      <w:iCs/>
                      <w:sz w:val="28"/>
                      <w:szCs w:val="28"/>
                    </w:rPr>
                  </w:pPr>
                  <w:r>
                    <w:rPr>
                      <w:rFonts w:hint="eastAsia" w:ascii="仿宋" w:hAnsi="仿宋" w:cs="Arial"/>
                      <w:i/>
                      <w:iCs/>
                      <w:sz w:val="28"/>
                      <w:szCs w:val="28"/>
                    </w:rPr>
                    <w:t>海丰国际：0</w:t>
                  </w:r>
                  <w:r>
                    <w:rPr>
                      <w:rFonts w:ascii="仿宋" w:hAnsi="仿宋" w:cs="Arial"/>
                      <w:i/>
                      <w:iCs/>
                      <w:sz w:val="28"/>
                      <w:szCs w:val="28"/>
                    </w:rPr>
                    <w:t>-2%</w:t>
                  </w:r>
                </w:p>
                <w:p>
                  <w:pPr>
                    <w:widowControl/>
                    <w:snapToGrid w:val="0"/>
                    <w:rPr>
                      <w:rFonts w:ascii="仿宋" w:hAnsi="仿宋" w:cs="Arial"/>
                      <w:i/>
                      <w:iCs/>
                      <w:sz w:val="28"/>
                      <w:szCs w:val="28"/>
                    </w:rPr>
                  </w:pPr>
                  <w:r>
                    <w:rPr>
                      <w:rFonts w:hint="eastAsia" w:ascii="仿宋" w:hAnsi="仿宋" w:cs="Arial"/>
                      <w:i/>
                      <w:iCs/>
                      <w:sz w:val="28"/>
                      <w:szCs w:val="28"/>
                    </w:rPr>
                    <w:t>双方合计：7-</w:t>
                  </w:r>
                  <w:r>
                    <w:rPr>
                      <w:rFonts w:ascii="仿宋" w:hAnsi="仿宋" w:cs="Arial"/>
                      <w:i/>
                      <w:iCs/>
                      <w:sz w:val="28"/>
                      <w:szCs w:val="28"/>
                    </w:rPr>
                    <w:t>12%</w:t>
                  </w:r>
                </w:p>
                <w:p>
                  <w:pPr>
                    <w:widowControl/>
                    <w:snapToGrid w:val="0"/>
                    <w:rPr>
                      <w:rFonts w:ascii="仿宋" w:hAnsi="仿宋" w:cs="Arial"/>
                      <w:i/>
                      <w:iCs/>
                      <w:sz w:val="28"/>
                      <w:szCs w:val="28"/>
                    </w:rPr>
                  </w:pPr>
                  <w:r>
                    <w:rPr>
                      <w:rFonts w:hint="eastAsia" w:ascii="仿宋" w:hAnsi="仿宋" w:cs="Arial"/>
                      <w:i/>
                      <w:iCs/>
                      <w:sz w:val="28"/>
                      <w:szCs w:val="28"/>
                    </w:rPr>
                    <w:t>下游：以上海港区为起点或终点的不特定航线集合的国际集装箱班轮运输市场</w:t>
                  </w:r>
                </w:p>
                <w:p>
                  <w:pPr>
                    <w:widowControl/>
                    <w:snapToGrid w:val="0"/>
                    <w:rPr>
                      <w:rFonts w:ascii="仿宋" w:hAnsi="仿宋" w:cs="Arial"/>
                      <w:i/>
                      <w:iCs/>
                      <w:sz w:val="28"/>
                      <w:szCs w:val="28"/>
                    </w:rPr>
                  </w:pPr>
                  <w:r>
                    <w:rPr>
                      <w:rFonts w:hint="eastAsia" w:ascii="仿宋" w:hAnsi="仿宋" w:cs="Arial"/>
                      <w:i/>
                      <w:iCs/>
                      <w:sz w:val="28"/>
                      <w:szCs w:val="28"/>
                    </w:rPr>
                    <w:t>海丰国际：0</w:t>
                  </w:r>
                  <w:r>
                    <w:rPr>
                      <w:rFonts w:ascii="仿宋" w:hAnsi="仿宋" w:cs="Arial"/>
                      <w:i/>
                      <w:iCs/>
                      <w:sz w:val="28"/>
                      <w:szCs w:val="28"/>
                    </w:rPr>
                    <w:t>-4%</w:t>
                  </w:r>
                </w:p>
              </w:tc>
            </w:tr>
          </w:tbl>
          <w:p>
            <w:pPr>
              <w:widowControl/>
              <w:adjustRightInd w:val="0"/>
              <w:snapToGrid w:val="0"/>
              <w:rPr>
                <w:rFonts w:ascii="宋体" w:hAnsi="宋体" w:cs="宋体"/>
                <w:b/>
                <w:color w:val="000000"/>
                <w:kern w:val="0"/>
                <w:sz w:val="24"/>
                <w:szCs w:val="24"/>
                <w:lang w:bidi="ar-AE"/>
              </w:rPr>
            </w:pPr>
          </w:p>
          <w:p>
            <w:pPr>
              <w:widowControl/>
              <w:snapToGrid w:val="0"/>
              <w:ind w:left="360"/>
              <w:jc w:val="left"/>
              <w:rPr>
                <w:rFonts w:ascii="仿宋" w:hAnsi="仿宋" w:cs="Arial"/>
                <w:sz w:val="28"/>
                <w:szCs w:val="28"/>
              </w:rPr>
            </w:pPr>
          </w:p>
        </w:tc>
      </w:tr>
    </w:tbl>
    <w:p>
      <w:pPr>
        <w:spacing w:line="360" w:lineRule="auto"/>
      </w:pPr>
    </w:p>
    <w:sectPr>
      <w:pgSz w:w="11906" w:h="16838"/>
      <w:pgMar w:top="1440" w:right="1800" w:bottom="14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2479D"/>
    <w:rsid w:val="000323F3"/>
    <w:rsid w:val="00035A82"/>
    <w:rsid w:val="00037530"/>
    <w:rsid w:val="00045100"/>
    <w:rsid w:val="000571FD"/>
    <w:rsid w:val="000654B2"/>
    <w:rsid w:val="000700E1"/>
    <w:rsid w:val="000703BE"/>
    <w:rsid w:val="00073949"/>
    <w:rsid w:val="00073DB7"/>
    <w:rsid w:val="0009242A"/>
    <w:rsid w:val="00093D0D"/>
    <w:rsid w:val="00094095"/>
    <w:rsid w:val="000A5481"/>
    <w:rsid w:val="000A59A8"/>
    <w:rsid w:val="000B0615"/>
    <w:rsid w:val="000D0EA9"/>
    <w:rsid w:val="000D3951"/>
    <w:rsid w:val="000D6A31"/>
    <w:rsid w:val="000E0288"/>
    <w:rsid w:val="000E149B"/>
    <w:rsid w:val="000E1FD0"/>
    <w:rsid w:val="000E766D"/>
    <w:rsid w:val="00101756"/>
    <w:rsid w:val="001027E0"/>
    <w:rsid w:val="001205CE"/>
    <w:rsid w:val="0013310A"/>
    <w:rsid w:val="00137E6C"/>
    <w:rsid w:val="00145508"/>
    <w:rsid w:val="001648D5"/>
    <w:rsid w:val="001709DF"/>
    <w:rsid w:val="00172D8F"/>
    <w:rsid w:val="001913C3"/>
    <w:rsid w:val="00191CBA"/>
    <w:rsid w:val="001944FF"/>
    <w:rsid w:val="001979D2"/>
    <w:rsid w:val="001B3283"/>
    <w:rsid w:val="001B59B4"/>
    <w:rsid w:val="001B7892"/>
    <w:rsid w:val="001B7F8E"/>
    <w:rsid w:val="001D0D17"/>
    <w:rsid w:val="001E2B01"/>
    <w:rsid w:val="001F7F49"/>
    <w:rsid w:val="00202B03"/>
    <w:rsid w:val="0020501F"/>
    <w:rsid w:val="00235846"/>
    <w:rsid w:val="00240C0B"/>
    <w:rsid w:val="002419D7"/>
    <w:rsid w:val="00245776"/>
    <w:rsid w:val="002613FF"/>
    <w:rsid w:val="00263B3C"/>
    <w:rsid w:val="00266059"/>
    <w:rsid w:val="00267E31"/>
    <w:rsid w:val="0027718A"/>
    <w:rsid w:val="002805CE"/>
    <w:rsid w:val="0029751E"/>
    <w:rsid w:val="002A5EC2"/>
    <w:rsid w:val="002B7DDF"/>
    <w:rsid w:val="002D17EF"/>
    <w:rsid w:val="002E38F0"/>
    <w:rsid w:val="002F2D60"/>
    <w:rsid w:val="002F66E5"/>
    <w:rsid w:val="00303602"/>
    <w:rsid w:val="00304062"/>
    <w:rsid w:val="0030730C"/>
    <w:rsid w:val="00307976"/>
    <w:rsid w:val="00310057"/>
    <w:rsid w:val="00312D87"/>
    <w:rsid w:val="00317AB3"/>
    <w:rsid w:val="0033305D"/>
    <w:rsid w:val="0033704E"/>
    <w:rsid w:val="003439C2"/>
    <w:rsid w:val="00350C89"/>
    <w:rsid w:val="0035413C"/>
    <w:rsid w:val="003773CC"/>
    <w:rsid w:val="00381ACA"/>
    <w:rsid w:val="003B5C8E"/>
    <w:rsid w:val="003C43CB"/>
    <w:rsid w:val="003C7576"/>
    <w:rsid w:val="003D1E34"/>
    <w:rsid w:val="003D2A38"/>
    <w:rsid w:val="003D5C04"/>
    <w:rsid w:val="003E15BE"/>
    <w:rsid w:val="003E296B"/>
    <w:rsid w:val="003E2E2D"/>
    <w:rsid w:val="003E6A55"/>
    <w:rsid w:val="003F6897"/>
    <w:rsid w:val="00400C3F"/>
    <w:rsid w:val="0043241E"/>
    <w:rsid w:val="00433887"/>
    <w:rsid w:val="004446A5"/>
    <w:rsid w:val="004618C7"/>
    <w:rsid w:val="00462174"/>
    <w:rsid w:val="004646FA"/>
    <w:rsid w:val="004751AC"/>
    <w:rsid w:val="00481719"/>
    <w:rsid w:val="004911B1"/>
    <w:rsid w:val="0049421E"/>
    <w:rsid w:val="004A1773"/>
    <w:rsid w:val="004B58FC"/>
    <w:rsid w:val="004B5FBC"/>
    <w:rsid w:val="004C38CE"/>
    <w:rsid w:val="004C561B"/>
    <w:rsid w:val="004D4346"/>
    <w:rsid w:val="004F351E"/>
    <w:rsid w:val="004F5CBC"/>
    <w:rsid w:val="005060EC"/>
    <w:rsid w:val="005146E7"/>
    <w:rsid w:val="0052095E"/>
    <w:rsid w:val="00520D42"/>
    <w:rsid w:val="005346EE"/>
    <w:rsid w:val="005426C4"/>
    <w:rsid w:val="0054341C"/>
    <w:rsid w:val="00556E0D"/>
    <w:rsid w:val="00562DCE"/>
    <w:rsid w:val="00566BD6"/>
    <w:rsid w:val="00577317"/>
    <w:rsid w:val="005809A0"/>
    <w:rsid w:val="00583615"/>
    <w:rsid w:val="005870D7"/>
    <w:rsid w:val="0059266D"/>
    <w:rsid w:val="00597123"/>
    <w:rsid w:val="005C4492"/>
    <w:rsid w:val="005E4246"/>
    <w:rsid w:val="005E6F7A"/>
    <w:rsid w:val="005E7932"/>
    <w:rsid w:val="005F0C54"/>
    <w:rsid w:val="005F167B"/>
    <w:rsid w:val="005F70F3"/>
    <w:rsid w:val="0061158F"/>
    <w:rsid w:val="00611D7A"/>
    <w:rsid w:val="006217A8"/>
    <w:rsid w:val="00633B50"/>
    <w:rsid w:val="00635D67"/>
    <w:rsid w:val="00647519"/>
    <w:rsid w:val="00653B35"/>
    <w:rsid w:val="006679CF"/>
    <w:rsid w:val="00676365"/>
    <w:rsid w:val="006819A0"/>
    <w:rsid w:val="006A3C43"/>
    <w:rsid w:val="006A59DC"/>
    <w:rsid w:val="006B3F05"/>
    <w:rsid w:val="006C218A"/>
    <w:rsid w:val="006C65B4"/>
    <w:rsid w:val="006C7436"/>
    <w:rsid w:val="006D2D6A"/>
    <w:rsid w:val="006E3952"/>
    <w:rsid w:val="006F3DED"/>
    <w:rsid w:val="007068BF"/>
    <w:rsid w:val="00716A63"/>
    <w:rsid w:val="007209FC"/>
    <w:rsid w:val="007327D8"/>
    <w:rsid w:val="00734026"/>
    <w:rsid w:val="00742022"/>
    <w:rsid w:val="00750206"/>
    <w:rsid w:val="00752412"/>
    <w:rsid w:val="007533AA"/>
    <w:rsid w:val="00767C3A"/>
    <w:rsid w:val="00783A00"/>
    <w:rsid w:val="007A38C7"/>
    <w:rsid w:val="007B3834"/>
    <w:rsid w:val="007C5F6F"/>
    <w:rsid w:val="007D4CFF"/>
    <w:rsid w:val="007E01A6"/>
    <w:rsid w:val="0080162F"/>
    <w:rsid w:val="00811680"/>
    <w:rsid w:val="00814098"/>
    <w:rsid w:val="00816C7C"/>
    <w:rsid w:val="0082167A"/>
    <w:rsid w:val="00826CD0"/>
    <w:rsid w:val="00832D75"/>
    <w:rsid w:val="0084163F"/>
    <w:rsid w:val="008443BF"/>
    <w:rsid w:val="008443DF"/>
    <w:rsid w:val="00845C14"/>
    <w:rsid w:val="00847AF2"/>
    <w:rsid w:val="0085157F"/>
    <w:rsid w:val="00851ED3"/>
    <w:rsid w:val="00853EAF"/>
    <w:rsid w:val="008571F5"/>
    <w:rsid w:val="008646F0"/>
    <w:rsid w:val="00873B52"/>
    <w:rsid w:val="00875B2A"/>
    <w:rsid w:val="0087668D"/>
    <w:rsid w:val="008822A3"/>
    <w:rsid w:val="008874EE"/>
    <w:rsid w:val="008A1EE9"/>
    <w:rsid w:val="008A7ED4"/>
    <w:rsid w:val="008B2540"/>
    <w:rsid w:val="008B4666"/>
    <w:rsid w:val="008B533B"/>
    <w:rsid w:val="008C5631"/>
    <w:rsid w:val="008D30FD"/>
    <w:rsid w:val="008E0777"/>
    <w:rsid w:val="008E2AB5"/>
    <w:rsid w:val="008E36B2"/>
    <w:rsid w:val="008E47E2"/>
    <w:rsid w:val="008E58AF"/>
    <w:rsid w:val="008F121B"/>
    <w:rsid w:val="008F5ADC"/>
    <w:rsid w:val="00902A89"/>
    <w:rsid w:val="00902FE0"/>
    <w:rsid w:val="00903C72"/>
    <w:rsid w:val="009053CE"/>
    <w:rsid w:val="00905BC2"/>
    <w:rsid w:val="00907D46"/>
    <w:rsid w:val="00923946"/>
    <w:rsid w:val="00926671"/>
    <w:rsid w:val="009278A0"/>
    <w:rsid w:val="00947D01"/>
    <w:rsid w:val="00967230"/>
    <w:rsid w:val="0099199A"/>
    <w:rsid w:val="00997B88"/>
    <w:rsid w:val="009A39BA"/>
    <w:rsid w:val="009A78D7"/>
    <w:rsid w:val="009B393F"/>
    <w:rsid w:val="009B6204"/>
    <w:rsid w:val="009E115F"/>
    <w:rsid w:val="009E26FD"/>
    <w:rsid w:val="009E4C82"/>
    <w:rsid w:val="009E5FF1"/>
    <w:rsid w:val="00A04764"/>
    <w:rsid w:val="00A06A8C"/>
    <w:rsid w:val="00A26EA8"/>
    <w:rsid w:val="00A364FA"/>
    <w:rsid w:val="00A40DD4"/>
    <w:rsid w:val="00A43CE7"/>
    <w:rsid w:val="00A45793"/>
    <w:rsid w:val="00A45ACE"/>
    <w:rsid w:val="00A65E67"/>
    <w:rsid w:val="00A77541"/>
    <w:rsid w:val="00A82097"/>
    <w:rsid w:val="00A82FD4"/>
    <w:rsid w:val="00A85100"/>
    <w:rsid w:val="00A93E85"/>
    <w:rsid w:val="00AB3A08"/>
    <w:rsid w:val="00AB3C57"/>
    <w:rsid w:val="00AB4317"/>
    <w:rsid w:val="00AC03FC"/>
    <w:rsid w:val="00AC3C88"/>
    <w:rsid w:val="00AC4E96"/>
    <w:rsid w:val="00AC7538"/>
    <w:rsid w:val="00AD7C47"/>
    <w:rsid w:val="00AE009B"/>
    <w:rsid w:val="00AE290A"/>
    <w:rsid w:val="00AE5DC8"/>
    <w:rsid w:val="00AF49A1"/>
    <w:rsid w:val="00B07BB1"/>
    <w:rsid w:val="00B10430"/>
    <w:rsid w:val="00B136F7"/>
    <w:rsid w:val="00B233E2"/>
    <w:rsid w:val="00B33BA6"/>
    <w:rsid w:val="00B36A4F"/>
    <w:rsid w:val="00B36F80"/>
    <w:rsid w:val="00B46F3D"/>
    <w:rsid w:val="00B70CED"/>
    <w:rsid w:val="00B72224"/>
    <w:rsid w:val="00B7455E"/>
    <w:rsid w:val="00B773B7"/>
    <w:rsid w:val="00B82890"/>
    <w:rsid w:val="00B91D18"/>
    <w:rsid w:val="00BA0750"/>
    <w:rsid w:val="00BA0752"/>
    <w:rsid w:val="00BA192B"/>
    <w:rsid w:val="00BA7CF3"/>
    <w:rsid w:val="00BB0BD8"/>
    <w:rsid w:val="00BB2377"/>
    <w:rsid w:val="00BB64E6"/>
    <w:rsid w:val="00BC45A0"/>
    <w:rsid w:val="00BD0100"/>
    <w:rsid w:val="00BD2CA2"/>
    <w:rsid w:val="00BD65A2"/>
    <w:rsid w:val="00BE0B2A"/>
    <w:rsid w:val="00BE25B9"/>
    <w:rsid w:val="00BE6716"/>
    <w:rsid w:val="00C00C7B"/>
    <w:rsid w:val="00C16A45"/>
    <w:rsid w:val="00C220D7"/>
    <w:rsid w:val="00C3147A"/>
    <w:rsid w:val="00C326AD"/>
    <w:rsid w:val="00C440BD"/>
    <w:rsid w:val="00C605C5"/>
    <w:rsid w:val="00C618DD"/>
    <w:rsid w:val="00C63BB2"/>
    <w:rsid w:val="00C67C2F"/>
    <w:rsid w:val="00C9068E"/>
    <w:rsid w:val="00C9172A"/>
    <w:rsid w:val="00CC4327"/>
    <w:rsid w:val="00CD6DAA"/>
    <w:rsid w:val="00CD78C9"/>
    <w:rsid w:val="00CE6852"/>
    <w:rsid w:val="00D00072"/>
    <w:rsid w:val="00D02EBD"/>
    <w:rsid w:val="00D05BE2"/>
    <w:rsid w:val="00D05BF9"/>
    <w:rsid w:val="00D175CB"/>
    <w:rsid w:val="00D21777"/>
    <w:rsid w:val="00D31776"/>
    <w:rsid w:val="00D96BB4"/>
    <w:rsid w:val="00DD1D11"/>
    <w:rsid w:val="00DE21FA"/>
    <w:rsid w:val="00DF3668"/>
    <w:rsid w:val="00DF72F4"/>
    <w:rsid w:val="00E11400"/>
    <w:rsid w:val="00E147D3"/>
    <w:rsid w:val="00E232A8"/>
    <w:rsid w:val="00E47FAD"/>
    <w:rsid w:val="00E50802"/>
    <w:rsid w:val="00E51E5F"/>
    <w:rsid w:val="00E53E71"/>
    <w:rsid w:val="00E56B1E"/>
    <w:rsid w:val="00E5701D"/>
    <w:rsid w:val="00E62DED"/>
    <w:rsid w:val="00E62F0B"/>
    <w:rsid w:val="00E637AB"/>
    <w:rsid w:val="00E657C4"/>
    <w:rsid w:val="00E74207"/>
    <w:rsid w:val="00E75B92"/>
    <w:rsid w:val="00E803C1"/>
    <w:rsid w:val="00E809AC"/>
    <w:rsid w:val="00E81511"/>
    <w:rsid w:val="00E869A8"/>
    <w:rsid w:val="00E928F9"/>
    <w:rsid w:val="00E93F19"/>
    <w:rsid w:val="00E95D57"/>
    <w:rsid w:val="00EC41A0"/>
    <w:rsid w:val="00EC6318"/>
    <w:rsid w:val="00EC67B2"/>
    <w:rsid w:val="00EC7C40"/>
    <w:rsid w:val="00ED21B1"/>
    <w:rsid w:val="00ED4680"/>
    <w:rsid w:val="00ED4E19"/>
    <w:rsid w:val="00EE6323"/>
    <w:rsid w:val="00EF281C"/>
    <w:rsid w:val="00EF3C8C"/>
    <w:rsid w:val="00F01D28"/>
    <w:rsid w:val="00F15C98"/>
    <w:rsid w:val="00F2146A"/>
    <w:rsid w:val="00F223DE"/>
    <w:rsid w:val="00F26A0F"/>
    <w:rsid w:val="00F3003C"/>
    <w:rsid w:val="00F417D2"/>
    <w:rsid w:val="00F418EA"/>
    <w:rsid w:val="00F73AA4"/>
    <w:rsid w:val="00F810A8"/>
    <w:rsid w:val="00F84765"/>
    <w:rsid w:val="00F848F3"/>
    <w:rsid w:val="00F84A27"/>
    <w:rsid w:val="00F85A59"/>
    <w:rsid w:val="00F86481"/>
    <w:rsid w:val="00F87C1F"/>
    <w:rsid w:val="00F96AAD"/>
    <w:rsid w:val="00F97C81"/>
    <w:rsid w:val="00FB17D3"/>
    <w:rsid w:val="00FB65C4"/>
    <w:rsid w:val="00FD391D"/>
    <w:rsid w:val="00FD3D7D"/>
    <w:rsid w:val="00FE7106"/>
    <w:rsid w:val="00FF7735"/>
    <w:rsid w:val="7F762123"/>
    <w:rsid w:val="BF3FC4CB"/>
    <w:rsid w:val="F7BF8FB4"/>
    <w:rsid w:val="FBDFF0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endnote text"/>
    <w:basedOn w:val="1"/>
    <w:link w:val="13"/>
    <w:semiHidden/>
    <w:unhideWhenUsed/>
    <w:qFormat/>
    <w:uiPriority w:val="99"/>
    <w:pPr>
      <w:snapToGrid w:val="0"/>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ndnote reference"/>
    <w:semiHidden/>
    <w:unhideWhenUsed/>
    <w:qFormat/>
    <w:uiPriority w:val="99"/>
    <w:rPr>
      <w:vertAlign w:val="superscript"/>
    </w:rPr>
  </w:style>
  <w:style w:type="character" w:styleId="12">
    <w:name w:val="annotation reference"/>
    <w:basedOn w:val="10"/>
    <w:semiHidden/>
    <w:unhideWhenUsed/>
    <w:qFormat/>
    <w:uiPriority w:val="99"/>
    <w:rPr>
      <w:sz w:val="21"/>
      <w:szCs w:val="21"/>
    </w:rPr>
  </w:style>
  <w:style w:type="character" w:customStyle="1" w:styleId="13">
    <w:name w:val="尾注文本 字符"/>
    <w:basedOn w:val="10"/>
    <w:link w:val="3"/>
    <w:semiHidden/>
    <w:qFormat/>
    <w:uiPriority w:val="99"/>
  </w:style>
  <w:style w:type="character" w:customStyle="1" w:styleId="14">
    <w:name w:val="页眉 字符"/>
    <w:link w:val="6"/>
    <w:qFormat/>
    <w:uiPriority w:val="99"/>
    <w:rPr>
      <w:sz w:val="18"/>
      <w:szCs w:val="18"/>
    </w:rPr>
  </w:style>
  <w:style w:type="character" w:customStyle="1" w:styleId="15">
    <w:name w:val="页脚 字符"/>
    <w:link w:val="5"/>
    <w:qFormat/>
    <w:uiPriority w:val="99"/>
    <w:rPr>
      <w:sz w:val="18"/>
      <w:szCs w:val="18"/>
    </w:rPr>
  </w:style>
  <w:style w:type="character" w:customStyle="1" w:styleId="16">
    <w:name w:val="批注框文本 字符"/>
    <w:link w:val="4"/>
    <w:semiHidden/>
    <w:qFormat/>
    <w:uiPriority w:val="99"/>
    <w:rPr>
      <w:kern w:val="2"/>
      <w:sz w:val="18"/>
      <w:szCs w:val="18"/>
    </w:rPr>
  </w:style>
  <w:style w:type="character" w:customStyle="1" w:styleId="17">
    <w:name w:val="批注文字 字符"/>
    <w:basedOn w:val="10"/>
    <w:link w:val="2"/>
    <w:semiHidden/>
    <w:qFormat/>
    <w:uiPriority w:val="99"/>
    <w:rPr>
      <w:kern w:val="2"/>
      <w:sz w:val="21"/>
      <w:szCs w:val="22"/>
    </w:rPr>
  </w:style>
  <w:style w:type="character" w:customStyle="1" w:styleId="18">
    <w:name w:val="批注主题 字符"/>
    <w:basedOn w:val="17"/>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181</Words>
  <Characters>1032</Characters>
  <Lines>8</Lines>
  <Paragraphs>2</Paragraphs>
  <TotalTime>2</TotalTime>
  <ScaleCrop>false</ScaleCrop>
  <LinksUpToDate>false</LinksUpToDate>
  <CharactersWithSpaces>1211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2022-08-31T08:17:00Z</dcterms:created>
  <dcterms:modified xsi:type="dcterms:W3CDTF">2023-03-24T13:02:11Z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