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423E" w14:textId="2DAD1523" w:rsidR="00946093" w:rsidRPr="009C1AED" w:rsidRDefault="00946093" w:rsidP="00946093">
      <w:pPr>
        <w:jc w:val="center"/>
        <w:rPr>
          <w:rFonts w:eastAsia="黑体"/>
          <w:bCs/>
          <w:sz w:val="36"/>
          <w:szCs w:val="36"/>
        </w:rPr>
      </w:pPr>
      <w:r w:rsidRPr="009C1AED">
        <w:rPr>
          <w:rFonts w:eastAsia="黑体"/>
          <w:bCs/>
          <w:sz w:val="36"/>
          <w:szCs w:val="36"/>
        </w:rPr>
        <w:t>经营者集中简易案件公示表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5555"/>
      </w:tblGrid>
      <w:tr w:rsidR="00946093" w:rsidRPr="009C1AED" w14:paraId="2D13702C" w14:textId="77777777" w:rsidTr="00185356">
        <w:trPr>
          <w:trHeight w:val="92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52EED" w14:textId="77777777" w:rsidR="00946093" w:rsidRPr="009C1AED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B83B" w14:textId="17B11930" w:rsidR="00946093" w:rsidRPr="009C1AED" w:rsidRDefault="00C93570" w:rsidP="00D713A8"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bCs/>
                <w:color w:val="000000"/>
              </w:rPr>
            </w:pPr>
            <w:r w:rsidRPr="009C1AED">
              <w:rPr>
                <w:rFonts w:hint="eastAsia"/>
                <w:szCs w:val="21"/>
              </w:rPr>
              <w:t>熙维资本合伙</w:t>
            </w:r>
            <w:r w:rsidR="00B22C52" w:rsidRPr="009C1AED">
              <w:rPr>
                <w:rFonts w:hint="eastAsia"/>
                <w:szCs w:val="21"/>
              </w:rPr>
              <w:t>企业</w:t>
            </w:r>
            <w:r w:rsidRPr="009C1AED">
              <w:rPr>
                <w:rFonts w:hint="eastAsia"/>
                <w:szCs w:val="21"/>
              </w:rPr>
              <w:t>收购麦兰威典运输集团美国公司等两家公司股权案</w:t>
            </w:r>
          </w:p>
        </w:tc>
      </w:tr>
      <w:tr w:rsidR="00946093" w:rsidRPr="009C1AED" w14:paraId="4703E527" w14:textId="77777777" w:rsidTr="00185356">
        <w:trPr>
          <w:trHeight w:val="139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31F6D" w14:textId="77777777" w:rsidR="00946093" w:rsidRPr="009C1AED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bCs/>
                <w:color w:val="000000"/>
              </w:rPr>
              <w:t>交易概况（限</w:t>
            </w:r>
            <w:r w:rsidRPr="009C1AED">
              <w:rPr>
                <w:rFonts w:cs="Times New Roman"/>
                <w:bCs/>
                <w:color w:val="000000"/>
              </w:rPr>
              <w:t>200</w:t>
            </w:r>
            <w:r w:rsidRPr="009C1AED">
              <w:rPr>
                <w:rFonts w:cs="Times New Roman"/>
                <w:bCs/>
                <w:color w:val="000000"/>
              </w:rPr>
              <w:t>字内）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E477" w14:textId="0AA0E150" w:rsidR="00C93570" w:rsidRDefault="00C93570" w:rsidP="00A37E95">
            <w:pPr>
              <w:widowControl w:val="0"/>
              <w:autoSpaceDE w:val="0"/>
              <w:adjustRightInd w:val="0"/>
              <w:snapToGrid w:val="0"/>
              <w:spacing w:before="0" w:beforeAutospacing="0" w:after="0"/>
            </w:pPr>
            <w:r w:rsidRPr="009C1AED">
              <w:t>2023</w:t>
            </w:r>
            <w:r w:rsidRPr="009C1AED">
              <w:rPr>
                <w:rFonts w:hint="eastAsia"/>
              </w:rPr>
              <w:t>年</w:t>
            </w:r>
            <w:r w:rsidRPr="009C1AED">
              <w:rPr>
                <w:rFonts w:hint="eastAsia"/>
              </w:rPr>
              <w:t>2</w:t>
            </w:r>
            <w:r w:rsidRPr="009C1AED">
              <w:rPr>
                <w:rFonts w:hint="eastAsia"/>
              </w:rPr>
              <w:t>月</w:t>
            </w:r>
            <w:r w:rsidRPr="009C1AED">
              <w:rPr>
                <w:rFonts w:hint="eastAsia"/>
              </w:rPr>
              <w:t>6</w:t>
            </w:r>
            <w:r w:rsidRPr="009C1AED">
              <w:rPr>
                <w:rFonts w:hint="eastAsia"/>
              </w:rPr>
              <w:t>日，</w:t>
            </w:r>
            <w:r w:rsidR="00020860" w:rsidRPr="009C1AED">
              <w:rPr>
                <w:rFonts w:hint="eastAsia"/>
                <w:szCs w:val="21"/>
              </w:rPr>
              <w:t>熙维资本合伙企业</w:t>
            </w:r>
            <w:r w:rsidR="00020860" w:rsidRPr="009C1AED">
              <w:rPr>
                <w:rFonts w:hint="eastAsia"/>
              </w:rPr>
              <w:t>（“</w:t>
            </w:r>
            <w:r w:rsidR="00020860" w:rsidRPr="009C1AED">
              <w:rPr>
                <w:rFonts w:hint="eastAsia"/>
                <w:b/>
                <w:bCs/>
              </w:rPr>
              <w:t>熙维资本</w:t>
            </w:r>
            <w:r w:rsidR="00020860" w:rsidRPr="009C1AED">
              <w:rPr>
                <w:rFonts w:hint="eastAsia"/>
              </w:rPr>
              <w:t>”）</w:t>
            </w:r>
            <w:r w:rsidR="00020860">
              <w:rPr>
                <w:rFonts w:hint="eastAsia"/>
              </w:rPr>
              <w:t>通过其持有并控制的</w:t>
            </w:r>
            <w:r w:rsidR="00D27E8A">
              <w:rPr>
                <w:rFonts w:ascii="宋体" w:hAnsi="宋体" w:hint="eastAsia"/>
              </w:rPr>
              <w:t>希尔卢森堡控股有限责任公司及希尔投标公司</w:t>
            </w:r>
            <w:r w:rsidRPr="009C1AED">
              <w:rPr>
                <w:rFonts w:hint="eastAsia"/>
              </w:rPr>
              <w:t>与</w:t>
            </w:r>
            <w:r w:rsidRPr="009C1AED">
              <w:rPr>
                <w:rFonts w:hint="eastAsia"/>
              </w:rPr>
              <w:t>AEA</w:t>
            </w:r>
            <w:r w:rsidR="00350FE6" w:rsidRPr="009C1AED">
              <w:rPr>
                <w:rFonts w:hint="eastAsia"/>
              </w:rPr>
              <w:t>投资者小</w:t>
            </w:r>
            <w:r w:rsidR="0095124D" w:rsidRPr="009C1AED">
              <w:rPr>
                <w:rFonts w:hint="eastAsia"/>
              </w:rPr>
              <w:t>型</w:t>
            </w:r>
            <w:r w:rsidR="00350FE6" w:rsidRPr="009C1AED">
              <w:rPr>
                <w:rFonts w:hint="eastAsia"/>
              </w:rPr>
              <w:t>企业基金有限合伙</w:t>
            </w:r>
            <w:r w:rsidRPr="009C1AED">
              <w:rPr>
                <w:rFonts w:hint="eastAsia"/>
              </w:rPr>
              <w:t>（“</w:t>
            </w:r>
            <w:r w:rsidRPr="009C1AED">
              <w:rPr>
                <w:rFonts w:hint="eastAsia"/>
                <w:b/>
                <w:bCs/>
              </w:rPr>
              <w:t>AEA</w:t>
            </w:r>
            <w:r w:rsidRPr="009C1AED">
              <w:rPr>
                <w:rFonts w:hint="eastAsia"/>
              </w:rPr>
              <w:t>”）的关联</w:t>
            </w:r>
            <w:r w:rsidR="00FF3B09" w:rsidRPr="009C1AED">
              <w:rPr>
                <w:rFonts w:hint="eastAsia"/>
              </w:rPr>
              <w:t>公司</w:t>
            </w:r>
            <w:r w:rsidRPr="009C1AED">
              <w:rPr>
                <w:rFonts w:hint="eastAsia"/>
              </w:rPr>
              <w:t>签订股</w:t>
            </w:r>
            <w:r w:rsidR="00577750" w:rsidRPr="009C1AED">
              <w:rPr>
                <w:rFonts w:hint="eastAsia"/>
              </w:rPr>
              <w:t>权</w:t>
            </w:r>
            <w:r w:rsidRPr="009C1AED">
              <w:rPr>
                <w:rFonts w:hint="eastAsia"/>
              </w:rPr>
              <w:t>购买协议，以收购</w:t>
            </w:r>
            <w:r w:rsidR="00577750" w:rsidRPr="009C1AED">
              <w:rPr>
                <w:rFonts w:hint="eastAsia"/>
              </w:rPr>
              <w:t>麦兰威典运输集团美国公司</w:t>
            </w:r>
            <w:r w:rsidRPr="009C1AED">
              <w:rPr>
                <w:rFonts w:hint="eastAsia"/>
              </w:rPr>
              <w:t>和</w:t>
            </w:r>
            <w:r w:rsidR="00577750" w:rsidRPr="009C1AED">
              <w:rPr>
                <w:rFonts w:hint="eastAsia"/>
              </w:rPr>
              <w:t>麦兰威典（泽西）上层有限公司</w:t>
            </w:r>
            <w:r w:rsidRPr="009C1AED">
              <w:rPr>
                <w:rFonts w:hint="eastAsia"/>
              </w:rPr>
              <w:t>（合称“</w:t>
            </w:r>
            <w:r w:rsidR="00577750" w:rsidRPr="009C1AED">
              <w:rPr>
                <w:rFonts w:hint="eastAsia"/>
                <w:b/>
                <w:bCs/>
              </w:rPr>
              <w:t>麦兰威典</w:t>
            </w:r>
            <w:r w:rsidRPr="009C1AED">
              <w:rPr>
                <w:rFonts w:hint="eastAsia"/>
              </w:rPr>
              <w:t>”）</w:t>
            </w:r>
            <w:r w:rsidRPr="009C1AED">
              <w:rPr>
                <w:rFonts w:hint="eastAsia"/>
              </w:rPr>
              <w:t>100%</w:t>
            </w:r>
            <w:r w:rsidRPr="009C1AED">
              <w:rPr>
                <w:rFonts w:hint="eastAsia"/>
              </w:rPr>
              <w:t>的股权</w:t>
            </w:r>
            <w:r w:rsidR="000434A3">
              <w:rPr>
                <w:rFonts w:hint="eastAsia"/>
              </w:rPr>
              <w:t>（</w:t>
            </w:r>
            <w:r w:rsidR="000434A3" w:rsidRPr="0079562E">
              <w:rPr>
                <w:rFonts w:hint="eastAsia"/>
              </w:rPr>
              <w:t>股权</w:t>
            </w:r>
            <w:r w:rsidR="000434A3">
              <w:rPr>
                <w:rFonts w:hint="eastAsia"/>
              </w:rPr>
              <w:t>流转后该股比将降至</w:t>
            </w:r>
            <w:r w:rsidR="000434A3">
              <w:rPr>
                <w:rFonts w:hint="eastAsia"/>
              </w:rPr>
              <w:t>7</w:t>
            </w:r>
            <w:r w:rsidR="000434A3">
              <w:t>6%</w:t>
            </w:r>
            <w:r w:rsidR="000434A3">
              <w:rPr>
                <w:rFonts w:hint="eastAsia"/>
              </w:rPr>
              <w:t>）</w:t>
            </w:r>
            <w:r w:rsidRPr="009C1AED">
              <w:rPr>
                <w:rFonts w:hint="eastAsia"/>
              </w:rPr>
              <w:t>。</w:t>
            </w:r>
            <w:r w:rsidR="004E5DA4" w:rsidRPr="009C1AED">
              <w:rPr>
                <w:rFonts w:hint="eastAsia"/>
              </w:rPr>
              <w:t>麦兰威典从事</w:t>
            </w:r>
            <w:r w:rsidRPr="009C1AED">
              <w:rPr>
                <w:rFonts w:hint="eastAsia"/>
              </w:rPr>
              <w:t>轻资产货运代理</w:t>
            </w:r>
            <w:r w:rsidR="004E5DA4" w:rsidRPr="009C1AED">
              <w:rPr>
                <w:rFonts w:hint="eastAsia"/>
              </w:rPr>
              <w:t>业务</w:t>
            </w:r>
            <w:r w:rsidR="002333C7" w:rsidRPr="009C1AED">
              <w:rPr>
                <w:rFonts w:hint="eastAsia"/>
              </w:rPr>
              <w:t>，</w:t>
            </w:r>
            <w:r w:rsidR="00DF51AF">
              <w:rPr>
                <w:rFonts w:hint="eastAsia"/>
              </w:rPr>
              <w:t>包括</w:t>
            </w:r>
            <w:r w:rsidR="0095124D" w:rsidRPr="009C1AED">
              <w:rPr>
                <w:rFonts w:hint="eastAsia"/>
              </w:rPr>
              <w:t>国际航空</w:t>
            </w:r>
            <w:r w:rsidR="00634B10">
              <w:rPr>
                <w:rFonts w:hint="eastAsia"/>
              </w:rPr>
              <w:t>、海上和陆上</w:t>
            </w:r>
            <w:r w:rsidR="0095124D" w:rsidRPr="009C1AED">
              <w:rPr>
                <w:rFonts w:hint="eastAsia"/>
              </w:rPr>
              <w:t>货运代理服务</w:t>
            </w:r>
            <w:r w:rsidR="004E5DA4" w:rsidRPr="009C1AED">
              <w:rPr>
                <w:rFonts w:hint="eastAsia"/>
              </w:rPr>
              <w:t>。</w:t>
            </w:r>
          </w:p>
          <w:p w14:paraId="61C5AC6C" w14:textId="77777777" w:rsidR="00D713A8" w:rsidRPr="009C1AED" w:rsidRDefault="00D713A8" w:rsidP="00A37E95">
            <w:pPr>
              <w:widowControl w:val="0"/>
              <w:autoSpaceDE w:val="0"/>
              <w:adjustRightInd w:val="0"/>
              <w:snapToGrid w:val="0"/>
              <w:spacing w:before="0" w:beforeAutospacing="0" w:after="0"/>
            </w:pPr>
          </w:p>
          <w:p w14:paraId="78C8B63B" w14:textId="00CAA7D8" w:rsidR="001D4077" w:rsidRPr="009C1AED" w:rsidRDefault="006429FE" w:rsidP="00A37E95"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szCs w:val="28"/>
              </w:rPr>
            </w:pPr>
            <w:r w:rsidRPr="009C1AED">
              <w:rPr>
                <w:rFonts w:hint="eastAsia"/>
              </w:rPr>
              <w:t>交易前，</w:t>
            </w:r>
            <w:r w:rsidRPr="009C1AED">
              <w:rPr>
                <w:rFonts w:hint="eastAsia"/>
              </w:rPr>
              <w:t>AEA</w:t>
            </w:r>
            <w:r w:rsidRPr="009C1AED">
              <w:rPr>
                <w:rFonts w:hint="eastAsia"/>
              </w:rPr>
              <w:t>间接持有</w:t>
            </w:r>
            <w:r w:rsidR="00D1178D">
              <w:rPr>
                <w:rFonts w:hint="eastAsia"/>
              </w:rPr>
              <w:t>麦兰威典</w:t>
            </w:r>
            <w:r w:rsidR="003528AC">
              <w:rPr>
                <w:rFonts w:hint="eastAsia"/>
              </w:rPr>
              <w:t>6</w:t>
            </w:r>
            <w:r w:rsidR="003528AC">
              <w:t>7.5%</w:t>
            </w:r>
            <w:r w:rsidR="00742D8B">
              <w:rPr>
                <w:rFonts w:hint="eastAsia"/>
              </w:rPr>
              <w:t>的</w:t>
            </w:r>
            <w:r w:rsidR="003528AC">
              <w:rPr>
                <w:rFonts w:hint="eastAsia"/>
              </w:rPr>
              <w:t>股权</w:t>
            </w:r>
            <w:r w:rsidR="00D129BA">
              <w:rPr>
                <w:rFonts w:hint="eastAsia"/>
              </w:rPr>
              <w:t>并</w:t>
            </w:r>
            <w:r w:rsidRPr="009C1AED">
              <w:rPr>
                <w:rFonts w:hint="eastAsia"/>
              </w:rPr>
              <w:t>单独控制</w:t>
            </w:r>
            <w:r w:rsidR="00D1178D">
              <w:rPr>
                <w:rFonts w:hint="eastAsia"/>
              </w:rPr>
              <w:t>麦兰威典</w:t>
            </w:r>
            <w:r w:rsidRPr="009C1AED">
              <w:rPr>
                <w:rFonts w:hint="eastAsia"/>
              </w:rPr>
              <w:t>。交易后，</w:t>
            </w:r>
            <w:r w:rsidR="00D1178D" w:rsidRPr="009C1AED">
              <w:rPr>
                <w:rFonts w:hint="eastAsia"/>
              </w:rPr>
              <w:t>麦兰威典将由熙维资本间接单独控制</w:t>
            </w:r>
            <w:r w:rsidR="00D129BA">
              <w:rPr>
                <w:rFonts w:hint="eastAsia"/>
              </w:rPr>
              <w:t>并</w:t>
            </w:r>
            <w:r w:rsidR="00D1178D" w:rsidRPr="009C1AED">
              <w:rPr>
                <w:rFonts w:hint="eastAsia"/>
              </w:rPr>
              <w:t>持有</w:t>
            </w:r>
            <w:r w:rsidR="00CE2132" w:rsidRPr="003C648B">
              <w:t>76</w:t>
            </w:r>
            <w:r w:rsidR="00D1178D">
              <w:t>%</w:t>
            </w:r>
            <w:r w:rsidR="00D1178D">
              <w:rPr>
                <w:rFonts w:hint="eastAsia"/>
              </w:rPr>
              <w:t>的</w:t>
            </w:r>
            <w:r w:rsidR="00D1178D" w:rsidRPr="009C1AED">
              <w:rPr>
                <w:rFonts w:hint="eastAsia"/>
              </w:rPr>
              <w:t>股权</w:t>
            </w:r>
            <w:r w:rsidRPr="009C1AED">
              <w:rPr>
                <w:rFonts w:hint="eastAsia"/>
              </w:rPr>
              <w:t>。</w:t>
            </w:r>
          </w:p>
        </w:tc>
      </w:tr>
      <w:tr w:rsidR="001D4077" w:rsidRPr="009C1AED" w14:paraId="5CE0ECE2" w14:textId="77777777" w:rsidTr="002F51B8">
        <w:trPr>
          <w:trHeight w:val="942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ADC69" w14:textId="77777777" w:rsidR="001D4077" w:rsidRPr="009C1AED" w:rsidRDefault="001D4077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bCs/>
                <w:color w:val="000000"/>
              </w:rPr>
              <w:t>参与集中的经营者简介（每个限</w:t>
            </w:r>
            <w:r w:rsidRPr="009C1AED">
              <w:rPr>
                <w:rFonts w:cs="Times New Roman"/>
                <w:bCs/>
                <w:color w:val="000000"/>
              </w:rPr>
              <w:t>100</w:t>
            </w:r>
            <w:r w:rsidRPr="009C1AED">
              <w:rPr>
                <w:rFonts w:cs="Times New Roman"/>
                <w:bCs/>
                <w:color w:val="000000"/>
              </w:rPr>
              <w:t>字以内）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0C8" w14:textId="7B1BA896" w:rsidR="001D4077" w:rsidRPr="009C1AED" w:rsidRDefault="002333C7" w:rsidP="00D713A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 w:hint="eastAsia"/>
                <w:bCs/>
                <w:color w:val="000000"/>
              </w:rPr>
              <w:t>熙维资本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14D0" w14:textId="068BF4DA" w:rsidR="00A36501" w:rsidRDefault="002A59A9" w:rsidP="00D713A8">
            <w:pPr>
              <w:snapToGrid w:val="0"/>
              <w:spacing w:before="0" w:beforeAutospacing="0" w:after="0"/>
            </w:pPr>
            <w:r w:rsidRPr="009C1AED">
              <w:rPr>
                <w:rFonts w:hint="eastAsia"/>
                <w:color w:val="000000"/>
                <w:szCs w:val="21"/>
              </w:rPr>
              <w:t>熙维资本于</w:t>
            </w:r>
            <w:r w:rsidRPr="009C1AED">
              <w:rPr>
                <w:rFonts w:hint="eastAsia"/>
                <w:color w:val="000000"/>
                <w:szCs w:val="21"/>
              </w:rPr>
              <w:t>2008</w:t>
            </w:r>
            <w:r w:rsidRPr="009C1AED">
              <w:rPr>
                <w:rFonts w:hint="eastAsia"/>
                <w:color w:val="000000"/>
                <w:szCs w:val="21"/>
              </w:rPr>
              <w:t>年</w:t>
            </w:r>
            <w:r w:rsidRPr="009C1AED">
              <w:rPr>
                <w:rFonts w:hint="eastAsia"/>
                <w:color w:val="000000"/>
                <w:szCs w:val="21"/>
              </w:rPr>
              <w:t>3</w:t>
            </w:r>
            <w:r w:rsidRPr="009C1AED">
              <w:rPr>
                <w:rFonts w:hint="eastAsia"/>
                <w:color w:val="000000"/>
                <w:szCs w:val="21"/>
              </w:rPr>
              <w:t>月</w:t>
            </w:r>
            <w:r w:rsidRPr="009C1AED">
              <w:rPr>
                <w:rFonts w:hint="eastAsia"/>
                <w:color w:val="000000"/>
                <w:szCs w:val="21"/>
              </w:rPr>
              <w:t>26</w:t>
            </w:r>
            <w:r w:rsidRPr="009C1AED">
              <w:rPr>
                <w:rFonts w:hint="eastAsia"/>
                <w:color w:val="000000"/>
                <w:szCs w:val="21"/>
              </w:rPr>
              <w:t>日</w:t>
            </w:r>
            <w:r w:rsidR="00375B4A" w:rsidRPr="009C1AED">
              <w:rPr>
                <w:rFonts w:hint="eastAsia"/>
                <w:color w:val="000000"/>
                <w:szCs w:val="21"/>
              </w:rPr>
              <w:t>成立于</w:t>
            </w:r>
            <w:r w:rsidRPr="009C1AED">
              <w:rPr>
                <w:rFonts w:hint="eastAsia"/>
                <w:color w:val="000000"/>
                <w:szCs w:val="21"/>
              </w:rPr>
              <w:t>卢森堡。</w:t>
            </w:r>
            <w:r w:rsidR="00131B76">
              <w:rPr>
                <w:rFonts w:hint="eastAsia"/>
              </w:rPr>
              <w:t>熙维的主要业务是投资咨询与投资管理，投资领域包含化工、制造、零售和经销、公共事业等行业。</w:t>
            </w:r>
          </w:p>
          <w:p w14:paraId="423D02D2" w14:textId="77777777" w:rsidR="00D713A8" w:rsidRPr="009C1AED" w:rsidRDefault="00D713A8" w:rsidP="00D713A8">
            <w:pPr>
              <w:snapToGrid w:val="0"/>
              <w:spacing w:before="0" w:beforeAutospacing="0" w:after="0"/>
              <w:rPr>
                <w:color w:val="000000"/>
                <w:szCs w:val="21"/>
              </w:rPr>
            </w:pPr>
          </w:p>
          <w:p w14:paraId="5DA34D7F" w14:textId="20A1E54A" w:rsidR="001D4077" w:rsidRPr="009C1AED" w:rsidRDefault="0024284F" w:rsidP="00D713A8">
            <w:pPr>
              <w:snapToGrid w:val="0"/>
              <w:spacing w:before="0" w:beforeAutospacing="0" w:after="0"/>
              <w:rPr>
                <w:bCs/>
                <w:color w:val="000000"/>
              </w:rPr>
            </w:pPr>
            <w:r w:rsidRPr="009C1AED">
              <w:rPr>
                <w:rFonts w:hint="eastAsia"/>
                <w:color w:val="000000"/>
                <w:szCs w:val="21"/>
              </w:rPr>
              <w:t>熙维资本无最终控制人。</w:t>
            </w:r>
          </w:p>
        </w:tc>
      </w:tr>
      <w:tr w:rsidR="001D4077" w:rsidRPr="009C1AED" w14:paraId="423B5977" w14:textId="77777777" w:rsidTr="002F51B8">
        <w:trPr>
          <w:trHeight w:val="984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C7B95" w14:textId="77777777" w:rsidR="001D4077" w:rsidRPr="009C1AED" w:rsidRDefault="001D4077" w:rsidP="00D713A8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2F2" w14:textId="3B325328" w:rsidR="001D4077" w:rsidRPr="009C1AED" w:rsidRDefault="00221946" w:rsidP="00D713A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 w:hint="eastAsia"/>
                <w:bCs/>
                <w:color w:val="000000"/>
              </w:rPr>
              <w:t>麦兰威典运输集团美国公司（“</w:t>
            </w:r>
            <w:r w:rsidRPr="009C1AED">
              <w:rPr>
                <w:rFonts w:cs="Times New Roman" w:hint="eastAsia"/>
                <w:b/>
                <w:color w:val="000000"/>
              </w:rPr>
              <w:t>麦兰威典运输</w:t>
            </w:r>
            <w:r w:rsidRPr="009C1AED">
              <w:rPr>
                <w:rFonts w:cs="Times New Roman" w:hint="eastAsia"/>
                <w:bCs/>
                <w:color w:val="000000"/>
              </w:rPr>
              <w:t>”）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1588" w14:textId="7927921C" w:rsidR="00A41F79" w:rsidRDefault="00A41F79" w:rsidP="00D713A8">
            <w:pPr>
              <w:widowControl w:val="0"/>
              <w:autoSpaceDE w:val="0"/>
              <w:adjustRightInd w:val="0"/>
              <w:snapToGrid w:val="0"/>
              <w:spacing w:before="0" w:beforeAutospacing="0" w:after="0"/>
            </w:pPr>
            <w:r w:rsidRPr="009C1AED">
              <w:rPr>
                <w:rFonts w:hint="eastAsia"/>
              </w:rPr>
              <w:t>麦兰威典运输于</w:t>
            </w:r>
            <w:r w:rsidRPr="009C1AED">
              <w:rPr>
                <w:rFonts w:hint="eastAsia"/>
              </w:rPr>
              <w:t>2016</w:t>
            </w:r>
            <w:r w:rsidRPr="009C1AED">
              <w:rPr>
                <w:rFonts w:hint="eastAsia"/>
              </w:rPr>
              <w:t>年</w:t>
            </w:r>
            <w:r w:rsidRPr="009C1AED">
              <w:rPr>
                <w:rFonts w:hint="eastAsia"/>
              </w:rPr>
              <w:t>8</w:t>
            </w:r>
            <w:r w:rsidRPr="009C1AED">
              <w:rPr>
                <w:rFonts w:hint="eastAsia"/>
              </w:rPr>
              <w:t>月</w:t>
            </w:r>
            <w:r w:rsidRPr="009C1AED">
              <w:rPr>
                <w:rFonts w:hint="eastAsia"/>
              </w:rPr>
              <w:t>23</w:t>
            </w:r>
            <w:r w:rsidRPr="009C1AED">
              <w:rPr>
                <w:rFonts w:hint="eastAsia"/>
              </w:rPr>
              <w:t>日成立</w:t>
            </w:r>
            <w:r w:rsidR="003637E8" w:rsidRPr="009C1AED">
              <w:rPr>
                <w:rFonts w:hint="eastAsia"/>
              </w:rPr>
              <w:t>于</w:t>
            </w:r>
            <w:r w:rsidR="00366CFA" w:rsidRPr="009C1AED">
              <w:rPr>
                <w:rFonts w:hint="eastAsia"/>
              </w:rPr>
              <w:t>美国</w:t>
            </w:r>
            <w:r w:rsidRPr="009C1AED">
              <w:rPr>
                <w:rFonts w:hint="eastAsia"/>
              </w:rPr>
              <w:t>。</w:t>
            </w:r>
            <w:r w:rsidR="004B1112" w:rsidRPr="009C1AED">
              <w:rPr>
                <w:rFonts w:hint="eastAsia"/>
              </w:rPr>
              <w:t>麦兰威典从事轻资产货运代理业务，</w:t>
            </w:r>
            <w:r w:rsidR="00DF51AF">
              <w:rPr>
                <w:rFonts w:hint="eastAsia"/>
              </w:rPr>
              <w:t>包括</w:t>
            </w:r>
            <w:r w:rsidR="00DF51AF" w:rsidRPr="009C1AED">
              <w:rPr>
                <w:rFonts w:hint="eastAsia"/>
              </w:rPr>
              <w:t>国际航空</w:t>
            </w:r>
            <w:r w:rsidR="00DF51AF">
              <w:rPr>
                <w:rFonts w:hint="eastAsia"/>
              </w:rPr>
              <w:t>、海上和陆上</w:t>
            </w:r>
            <w:r w:rsidR="00DF51AF" w:rsidRPr="009C1AED">
              <w:rPr>
                <w:rFonts w:hint="eastAsia"/>
              </w:rPr>
              <w:t>货运代理服务</w:t>
            </w:r>
            <w:r w:rsidR="004B1112" w:rsidRPr="009C1AED">
              <w:rPr>
                <w:rFonts w:hint="eastAsia"/>
              </w:rPr>
              <w:t>。</w:t>
            </w:r>
          </w:p>
          <w:p w14:paraId="14E3D35D" w14:textId="77777777" w:rsidR="00D713A8" w:rsidRPr="00BD7B8E" w:rsidRDefault="00D713A8" w:rsidP="00D713A8">
            <w:pPr>
              <w:widowControl w:val="0"/>
              <w:autoSpaceDE w:val="0"/>
              <w:adjustRightInd w:val="0"/>
              <w:snapToGrid w:val="0"/>
              <w:spacing w:before="0" w:beforeAutospacing="0" w:after="0"/>
            </w:pPr>
          </w:p>
          <w:p w14:paraId="61BD9CF5" w14:textId="7D1CFB67" w:rsidR="001D4077" w:rsidRPr="009C1AED" w:rsidRDefault="007E712D" w:rsidP="00D713A8"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bCs/>
                <w:color w:val="000000"/>
              </w:rPr>
            </w:pPr>
            <w:r w:rsidRPr="009C1AED">
              <w:rPr>
                <w:rFonts w:hint="eastAsia"/>
              </w:rPr>
              <w:t>麦兰威典运输的最终控制人为</w:t>
            </w:r>
            <w:r w:rsidRPr="009C1AED">
              <w:rPr>
                <w:rFonts w:hint="eastAsia"/>
              </w:rPr>
              <w:t>A</w:t>
            </w:r>
            <w:r w:rsidRPr="009C1AED">
              <w:t>EA</w:t>
            </w:r>
            <w:r w:rsidR="0020051B">
              <w:rPr>
                <w:rFonts w:hint="eastAsia"/>
              </w:rPr>
              <w:t>，</w:t>
            </w:r>
            <w:r w:rsidR="00634B10">
              <w:rPr>
                <w:rFonts w:hint="eastAsia"/>
              </w:rPr>
              <w:t>业务为</w:t>
            </w:r>
            <w:r w:rsidRPr="009C1AED">
              <w:rPr>
                <w:rFonts w:hint="eastAsia"/>
              </w:rPr>
              <w:t>私募股权投资。</w:t>
            </w:r>
          </w:p>
        </w:tc>
      </w:tr>
      <w:tr w:rsidR="001D4077" w:rsidRPr="009C1AED" w14:paraId="63905101" w14:textId="77777777" w:rsidTr="002F51B8">
        <w:trPr>
          <w:trHeight w:val="984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B2EC" w14:textId="77777777" w:rsidR="001D4077" w:rsidRPr="009C1AED" w:rsidRDefault="001D4077" w:rsidP="00D713A8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E6AA" w14:textId="281FB978" w:rsidR="001D4077" w:rsidRPr="009C1AED" w:rsidRDefault="00C5008A" w:rsidP="00D713A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 w:hint="eastAsia"/>
              </w:rPr>
              <w:t>麦兰威典（泽西）上层有限公司（“</w:t>
            </w:r>
            <w:r w:rsidRPr="009C1AED">
              <w:rPr>
                <w:rFonts w:cs="Times New Roman" w:hint="eastAsia"/>
                <w:b/>
                <w:bCs/>
              </w:rPr>
              <w:t>麦兰威典泽西</w:t>
            </w:r>
            <w:r w:rsidRPr="009C1AED">
              <w:rPr>
                <w:rFonts w:cs="Times New Roman" w:hint="eastAsia"/>
              </w:rPr>
              <w:t>”）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97D" w14:textId="3D06DC05" w:rsidR="008E1A31" w:rsidRDefault="008E1A31" w:rsidP="00D713A8">
            <w:pPr>
              <w:widowControl w:val="0"/>
              <w:autoSpaceDE w:val="0"/>
              <w:adjustRightInd w:val="0"/>
              <w:snapToGrid w:val="0"/>
              <w:spacing w:before="0" w:beforeAutospacing="0" w:after="0"/>
            </w:pPr>
            <w:r w:rsidRPr="009C1AED">
              <w:rPr>
                <w:rFonts w:hint="eastAsia"/>
              </w:rPr>
              <w:t>麦兰威典</w:t>
            </w:r>
            <w:r w:rsidR="005F1314" w:rsidRPr="009C1AED">
              <w:rPr>
                <w:rFonts w:hint="eastAsia"/>
              </w:rPr>
              <w:t>泽西</w:t>
            </w:r>
            <w:r w:rsidRPr="009C1AED">
              <w:rPr>
                <w:rFonts w:hint="eastAsia"/>
              </w:rPr>
              <w:t>于</w:t>
            </w:r>
            <w:r w:rsidRPr="009C1AED">
              <w:rPr>
                <w:rFonts w:hint="eastAsia"/>
              </w:rPr>
              <w:t>2016</w:t>
            </w:r>
            <w:r w:rsidRPr="009C1AED">
              <w:rPr>
                <w:rFonts w:hint="eastAsia"/>
              </w:rPr>
              <w:t>年</w:t>
            </w:r>
            <w:r w:rsidR="00430E08" w:rsidRPr="009C1AED">
              <w:rPr>
                <w:rFonts w:hint="eastAsia"/>
              </w:rPr>
              <w:t>7</w:t>
            </w:r>
            <w:r w:rsidRPr="009C1AED">
              <w:rPr>
                <w:rFonts w:hint="eastAsia"/>
              </w:rPr>
              <w:t>月</w:t>
            </w:r>
            <w:r w:rsidR="00430E08" w:rsidRPr="009C1AED">
              <w:rPr>
                <w:rFonts w:hint="eastAsia"/>
              </w:rPr>
              <w:t>4</w:t>
            </w:r>
            <w:r w:rsidRPr="009C1AED">
              <w:rPr>
                <w:rFonts w:hint="eastAsia"/>
              </w:rPr>
              <w:t>日成立于</w:t>
            </w:r>
            <w:r w:rsidR="00D77A2D" w:rsidRPr="009C1AED">
              <w:rPr>
                <w:rFonts w:hint="eastAsia"/>
              </w:rPr>
              <w:t>泽西</w:t>
            </w:r>
            <w:r w:rsidRPr="009C1AED">
              <w:rPr>
                <w:rFonts w:hint="eastAsia"/>
              </w:rPr>
              <w:t>。麦兰威典</w:t>
            </w:r>
            <w:r w:rsidR="00DF51AF" w:rsidRPr="009C1AED">
              <w:rPr>
                <w:rFonts w:hint="eastAsia"/>
              </w:rPr>
              <w:t>从事轻资产货运代理业务，</w:t>
            </w:r>
            <w:r w:rsidR="00DF51AF">
              <w:rPr>
                <w:rFonts w:hint="eastAsia"/>
              </w:rPr>
              <w:t>包括</w:t>
            </w:r>
            <w:r w:rsidR="00DF51AF" w:rsidRPr="009C1AED">
              <w:rPr>
                <w:rFonts w:hint="eastAsia"/>
              </w:rPr>
              <w:t>国际航空</w:t>
            </w:r>
            <w:r w:rsidR="00DF51AF">
              <w:rPr>
                <w:rFonts w:hint="eastAsia"/>
              </w:rPr>
              <w:t>、海上和陆上</w:t>
            </w:r>
            <w:r w:rsidR="00DF51AF" w:rsidRPr="009C1AED">
              <w:rPr>
                <w:rFonts w:hint="eastAsia"/>
              </w:rPr>
              <w:t>货运代理服务</w:t>
            </w:r>
            <w:r w:rsidRPr="009C1AED">
              <w:rPr>
                <w:rFonts w:hint="eastAsia"/>
              </w:rPr>
              <w:t>。</w:t>
            </w:r>
          </w:p>
          <w:p w14:paraId="57B6DCC2" w14:textId="77777777" w:rsidR="00D713A8" w:rsidRPr="009C1AED" w:rsidRDefault="00D713A8" w:rsidP="00D713A8">
            <w:pPr>
              <w:widowControl w:val="0"/>
              <w:autoSpaceDE w:val="0"/>
              <w:adjustRightInd w:val="0"/>
              <w:snapToGrid w:val="0"/>
              <w:spacing w:before="0" w:beforeAutospacing="0" w:after="0"/>
            </w:pPr>
          </w:p>
          <w:p w14:paraId="2C3E0D48" w14:textId="5BE58837" w:rsidR="001D4077" w:rsidRPr="009C1AED" w:rsidRDefault="008E1A31" w:rsidP="00D713A8"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szCs w:val="21"/>
              </w:rPr>
            </w:pPr>
            <w:r w:rsidRPr="009C1AED">
              <w:rPr>
                <w:rFonts w:hint="eastAsia"/>
              </w:rPr>
              <w:t>麦兰威典</w:t>
            </w:r>
            <w:r w:rsidR="00E9130A" w:rsidRPr="009C1AED">
              <w:rPr>
                <w:rFonts w:hint="eastAsia"/>
              </w:rPr>
              <w:t>泽西</w:t>
            </w:r>
            <w:r w:rsidRPr="009C1AED">
              <w:rPr>
                <w:rFonts w:hint="eastAsia"/>
              </w:rPr>
              <w:t>的最终控制人为</w:t>
            </w:r>
            <w:r w:rsidRPr="009C1AED">
              <w:rPr>
                <w:rFonts w:hint="eastAsia"/>
              </w:rPr>
              <w:t>A</w:t>
            </w:r>
            <w:r w:rsidRPr="009C1AED">
              <w:t>EA</w:t>
            </w:r>
            <w:r w:rsidRPr="009C1AED">
              <w:rPr>
                <w:rFonts w:hint="eastAsia"/>
              </w:rPr>
              <w:t>，</w:t>
            </w:r>
            <w:r w:rsidR="00634B10">
              <w:rPr>
                <w:rFonts w:hint="eastAsia"/>
              </w:rPr>
              <w:t>业务为</w:t>
            </w:r>
            <w:r w:rsidRPr="009C1AED">
              <w:rPr>
                <w:rFonts w:hint="eastAsia"/>
              </w:rPr>
              <w:t>私募股权投资。</w:t>
            </w:r>
          </w:p>
        </w:tc>
      </w:tr>
      <w:tr w:rsidR="00946093" w:rsidRPr="009C1AED" w14:paraId="1AC5D95A" w14:textId="77777777" w:rsidTr="00185356">
        <w:trPr>
          <w:trHeight w:val="279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40ABC" w14:textId="77777777" w:rsidR="00946093" w:rsidRPr="009C1AED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CCB4" w14:textId="14806E1B" w:rsidR="00946093" w:rsidRPr="009C1AED" w:rsidRDefault="004D23B6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lang w:val="en-GB"/>
              </w:rPr>
              <w:sym w:font="Wingdings" w:char="F0A8"/>
            </w:r>
            <w:r w:rsidR="00946093" w:rsidRPr="009C1AED">
              <w:rPr>
                <w:rFonts w:cs="Times New Roman"/>
                <w:lang w:val="en-GB"/>
              </w:rPr>
              <w:t xml:space="preserve"> </w:t>
            </w:r>
            <w:r w:rsidR="00946093" w:rsidRPr="009C1AED">
              <w:rPr>
                <w:rFonts w:cs="Times New Roman"/>
                <w:bCs/>
                <w:color w:val="000000"/>
              </w:rPr>
              <w:t>1</w:t>
            </w:r>
            <w:r w:rsidR="00946093" w:rsidRPr="009C1AED">
              <w:rPr>
                <w:rFonts w:cs="Times New Roman"/>
                <w:bCs/>
                <w:color w:val="000000"/>
              </w:rPr>
              <w:t>、在同一相关市场，所有参与集中的经营者所占市场份额之和小于</w:t>
            </w:r>
            <w:r w:rsidR="00946093" w:rsidRPr="009C1AED">
              <w:rPr>
                <w:rFonts w:cs="Times New Roman"/>
                <w:bCs/>
                <w:color w:val="000000"/>
              </w:rPr>
              <w:t>15%</w:t>
            </w:r>
            <w:r w:rsidR="00946093" w:rsidRPr="009C1AED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9C1AED" w14:paraId="2D86848C" w14:textId="77777777" w:rsidTr="00185356">
        <w:trPr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1DF" w14:textId="77777777" w:rsidR="00946093" w:rsidRPr="009C1AED" w:rsidRDefault="00946093" w:rsidP="00D713A8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920" w14:textId="7F0ADB4A" w:rsidR="00946093" w:rsidRPr="009C1AED" w:rsidRDefault="00293D1A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lang w:val="en-GB"/>
              </w:rPr>
              <w:sym w:font="Wingdings" w:char="F0A8"/>
            </w:r>
            <w:r w:rsidR="00946093" w:rsidRPr="009C1AED">
              <w:rPr>
                <w:rFonts w:cs="Times New Roman"/>
                <w:lang w:val="en-GB"/>
              </w:rPr>
              <w:t xml:space="preserve"> </w:t>
            </w:r>
            <w:r w:rsidR="00946093" w:rsidRPr="009C1AED">
              <w:rPr>
                <w:rFonts w:cs="Times New Roman"/>
                <w:bCs/>
                <w:color w:val="000000"/>
              </w:rPr>
              <w:t>2</w:t>
            </w:r>
            <w:r w:rsidR="00946093" w:rsidRPr="009C1AED">
              <w:rPr>
                <w:rFonts w:cs="Times New Roman"/>
                <w:bCs/>
                <w:color w:val="000000"/>
              </w:rPr>
              <w:t>、存在上下游关系的参与集中的经营者，在上下游市场所占的市场份额均小于</w:t>
            </w:r>
            <w:r w:rsidR="00946093" w:rsidRPr="009C1AED">
              <w:rPr>
                <w:rFonts w:cs="Times New Roman"/>
                <w:bCs/>
                <w:color w:val="000000"/>
              </w:rPr>
              <w:t>25%</w:t>
            </w:r>
            <w:r w:rsidR="00946093" w:rsidRPr="009C1AED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9C1AED" w14:paraId="058327E9" w14:textId="77777777" w:rsidTr="00185356">
        <w:trPr>
          <w:trHeight w:val="2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B31F" w14:textId="77777777" w:rsidR="00946093" w:rsidRPr="009C1AED" w:rsidRDefault="00946093" w:rsidP="00D713A8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71F3" w14:textId="5E8BB286" w:rsidR="00946093" w:rsidRPr="009C1AED" w:rsidRDefault="00293D1A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lang w:val="en-GB"/>
              </w:rPr>
              <w:sym w:font="Wingdings" w:char="00FE"/>
            </w:r>
            <w:r w:rsidR="00946093" w:rsidRPr="009C1AED">
              <w:rPr>
                <w:rFonts w:cs="Times New Roman"/>
                <w:bCs/>
                <w:color w:val="000000"/>
              </w:rPr>
              <w:t xml:space="preserve"> 3</w:t>
            </w:r>
            <w:r w:rsidR="00946093" w:rsidRPr="009C1AED">
              <w:rPr>
                <w:rFonts w:cs="Times New Roman"/>
                <w:bCs/>
                <w:color w:val="000000"/>
              </w:rPr>
              <w:t>、不在同一相关市场、也不存在上下游关系的参与集中的经营者，在与交易有关的每个市场所占的份额均小于</w:t>
            </w:r>
            <w:r w:rsidR="00946093" w:rsidRPr="009C1AED">
              <w:rPr>
                <w:rFonts w:cs="Times New Roman"/>
                <w:bCs/>
                <w:color w:val="000000"/>
              </w:rPr>
              <w:t>25%</w:t>
            </w:r>
            <w:r w:rsidR="00946093" w:rsidRPr="009C1AED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9C1AED" w14:paraId="3A550DFD" w14:textId="77777777" w:rsidTr="00185356">
        <w:trPr>
          <w:trHeight w:val="8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C4B4" w14:textId="77777777" w:rsidR="00946093" w:rsidRPr="009C1AED" w:rsidRDefault="00946093" w:rsidP="00D713A8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A8F" w14:textId="32995B45" w:rsidR="00946093" w:rsidRPr="009C1AED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lang w:val="en-GB"/>
              </w:rPr>
              <w:sym w:font="Wingdings" w:char="F0A8"/>
            </w:r>
            <w:r w:rsidRPr="009C1AED">
              <w:rPr>
                <w:rFonts w:cs="Times New Roman"/>
                <w:bCs/>
                <w:color w:val="000000"/>
              </w:rPr>
              <w:t xml:space="preserve"> 4</w:t>
            </w:r>
            <w:r w:rsidRPr="009C1AED">
              <w:rPr>
                <w:rFonts w:cs="Times New Roman"/>
                <w:bCs/>
                <w:color w:val="000000"/>
              </w:rPr>
              <w:t>、参与集中的经营者在中国境外设立合营企业，合营企业不在中国境内从事经济活动。</w:t>
            </w:r>
          </w:p>
        </w:tc>
      </w:tr>
      <w:tr w:rsidR="00946093" w:rsidRPr="009C1AED" w14:paraId="30E3FFBE" w14:textId="77777777" w:rsidTr="00185356">
        <w:trPr>
          <w:trHeight w:val="264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062" w14:textId="77777777" w:rsidR="00946093" w:rsidRPr="009C1AED" w:rsidRDefault="00946093" w:rsidP="00D713A8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58C3" w14:textId="3928B1EA" w:rsidR="00946093" w:rsidRPr="009C1AED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lang w:val="en-GB"/>
              </w:rPr>
              <w:sym w:font="Wingdings" w:char="F0A8"/>
            </w:r>
            <w:r w:rsidRPr="009C1AED">
              <w:rPr>
                <w:rFonts w:cs="Times New Roman"/>
                <w:bCs/>
                <w:color w:val="000000"/>
              </w:rPr>
              <w:t xml:space="preserve"> 5</w:t>
            </w:r>
            <w:r w:rsidRPr="009C1AED">
              <w:rPr>
                <w:rFonts w:cs="Times New Roman"/>
                <w:bCs/>
                <w:color w:val="000000"/>
              </w:rPr>
              <w:t>、参与集中的经营者收购境外企业股权或资产的，该境外企业不在中国境内从事经济活动。</w:t>
            </w:r>
          </w:p>
        </w:tc>
      </w:tr>
      <w:tr w:rsidR="00946093" w:rsidRPr="009C1AED" w14:paraId="06DDA366" w14:textId="77777777" w:rsidTr="00185356">
        <w:trPr>
          <w:trHeight w:val="3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9C4" w14:textId="77777777" w:rsidR="00946093" w:rsidRPr="009C1AED" w:rsidRDefault="00946093" w:rsidP="00D713A8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0175" w14:textId="11564400" w:rsidR="00946093" w:rsidRPr="009C1AED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lang w:val="en-GB"/>
              </w:rPr>
              <w:sym w:font="Wingdings" w:char="F0A8"/>
            </w:r>
            <w:r w:rsidRPr="009C1AED">
              <w:rPr>
                <w:rFonts w:cs="Times New Roman"/>
                <w:bCs/>
                <w:color w:val="000000"/>
              </w:rPr>
              <w:t xml:space="preserve"> 6</w:t>
            </w:r>
            <w:r w:rsidRPr="009C1AED">
              <w:rPr>
                <w:rFonts w:cs="Times New Roman"/>
                <w:bCs/>
                <w:color w:val="000000"/>
              </w:rPr>
              <w:t>、由两个以上的经营者共同控制的合营企业，通过集中被其中</w:t>
            </w:r>
            <w:r w:rsidRPr="009C1AED">
              <w:rPr>
                <w:rFonts w:cs="Times New Roman"/>
                <w:bCs/>
                <w:color w:val="000000"/>
              </w:rPr>
              <w:lastRenderedPageBreak/>
              <w:t>一个或一个以上经营者控制。</w:t>
            </w:r>
          </w:p>
        </w:tc>
      </w:tr>
      <w:tr w:rsidR="00946093" w:rsidRPr="00717A78" w14:paraId="10A69EA5" w14:textId="77777777" w:rsidTr="00224009">
        <w:trPr>
          <w:trHeight w:val="24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234E0" w14:textId="77777777" w:rsidR="00946093" w:rsidRPr="009C1AED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 w:rsidRPr="009C1AED">
              <w:rPr>
                <w:rFonts w:cs="Times New Roman"/>
                <w:bCs/>
                <w:color w:val="000000"/>
              </w:rPr>
              <w:lastRenderedPageBreak/>
              <w:t>备注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2EE5" w14:textId="05B7458E" w:rsidR="0020051B" w:rsidRDefault="0020051B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/>
                <w:color w:val="000000"/>
              </w:rPr>
            </w:pPr>
            <w:r w:rsidRPr="0020051B">
              <w:rPr>
                <w:rFonts w:cs="Times New Roman" w:hint="eastAsia"/>
                <w:b/>
                <w:color w:val="000000"/>
              </w:rPr>
              <w:t>混合集中：</w:t>
            </w:r>
          </w:p>
          <w:p w14:paraId="62F41DE5" w14:textId="77777777" w:rsidR="00D713A8" w:rsidRPr="0020051B" w:rsidRDefault="00D713A8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/>
                <w:color w:val="000000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  <w:gridCol w:w="1861"/>
              <w:gridCol w:w="2147"/>
            </w:tblGrid>
            <w:tr w:rsidR="00825404" w:rsidRPr="009C1AED" w14:paraId="0E1B90C9" w14:textId="77777777" w:rsidTr="00D713A8">
              <w:trPr>
                <w:trHeight w:val="374"/>
              </w:trPr>
              <w:tc>
                <w:tcPr>
                  <w:tcW w:w="2817" w:type="dxa"/>
                </w:tcPr>
                <w:p w14:paraId="08118F1F" w14:textId="77AA22B3" w:rsidR="00825404" w:rsidRPr="009C1AED" w:rsidRDefault="00825404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b/>
                      <w:bCs/>
                    </w:rPr>
                    <w:t>相关商品市场</w:t>
                  </w:r>
                </w:p>
              </w:tc>
              <w:tc>
                <w:tcPr>
                  <w:tcW w:w="1861" w:type="dxa"/>
                </w:tcPr>
                <w:p w14:paraId="24AC4538" w14:textId="4D467C5C" w:rsidR="00825404" w:rsidRPr="009C1AED" w:rsidRDefault="00825404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b/>
                      <w:bCs/>
                    </w:rPr>
                    <w:t>相关地域市场</w:t>
                  </w:r>
                </w:p>
              </w:tc>
              <w:tc>
                <w:tcPr>
                  <w:tcW w:w="2147" w:type="dxa"/>
                </w:tcPr>
                <w:p w14:paraId="7FE84E94" w14:textId="20AB9C98" w:rsidR="00825404" w:rsidRPr="009C1AED" w:rsidRDefault="00825404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b/>
                      <w:bCs/>
                    </w:rPr>
                    <w:t>2021</w:t>
                  </w:r>
                  <w:r w:rsidRPr="009C1AED">
                    <w:rPr>
                      <w:b/>
                      <w:bCs/>
                    </w:rPr>
                    <w:t>年市场份额</w:t>
                  </w:r>
                </w:p>
              </w:tc>
            </w:tr>
            <w:tr w:rsidR="00825404" w:rsidRPr="009C1AED" w14:paraId="65EC50AB" w14:textId="77777777" w:rsidTr="00D713A8">
              <w:trPr>
                <w:trHeight w:val="367"/>
              </w:trPr>
              <w:tc>
                <w:tcPr>
                  <w:tcW w:w="2817" w:type="dxa"/>
                </w:tcPr>
                <w:p w14:paraId="528E1CCD" w14:textId="18E78A72" w:rsidR="00825404" w:rsidRPr="009C1AED" w:rsidRDefault="005D6FB4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rFonts w:hint="eastAsia"/>
                    </w:rPr>
                    <w:t>国际航空</w:t>
                  </w:r>
                  <w:r w:rsidR="00825404" w:rsidRPr="009C1AED">
                    <w:rPr>
                      <w:rFonts w:hint="eastAsia"/>
                    </w:rPr>
                    <w:t>货运代理</w:t>
                  </w:r>
                  <w:r w:rsidRPr="009C1AED">
                    <w:rPr>
                      <w:rFonts w:hint="eastAsia"/>
                    </w:rPr>
                    <w:t>服务</w:t>
                  </w:r>
                </w:p>
              </w:tc>
              <w:tc>
                <w:tcPr>
                  <w:tcW w:w="1861" w:type="dxa"/>
                </w:tcPr>
                <w:p w14:paraId="30F3BDA3" w14:textId="02F5DEE9" w:rsidR="00825404" w:rsidRPr="009C1AED" w:rsidRDefault="00FB24C5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rFonts w:hint="eastAsia"/>
                      <w:szCs w:val="24"/>
                    </w:rPr>
                    <w:t>中国境内</w:t>
                  </w:r>
                </w:p>
              </w:tc>
              <w:tc>
                <w:tcPr>
                  <w:tcW w:w="2147" w:type="dxa"/>
                </w:tcPr>
                <w:p w14:paraId="11BEF5E7" w14:textId="15913841" w:rsidR="00825404" w:rsidRPr="009C1AED" w:rsidRDefault="009D1AF9" w:rsidP="00D713A8">
                  <w:pPr>
                    <w:spacing w:before="0" w:beforeAutospacing="0" w:after="0"/>
                    <w:jc w:val="left"/>
                    <w:rPr>
                      <w:szCs w:val="24"/>
                    </w:rPr>
                  </w:pPr>
                  <w:r w:rsidRPr="009C1AED">
                    <w:rPr>
                      <w:rFonts w:hint="eastAsia"/>
                      <w:szCs w:val="24"/>
                    </w:rPr>
                    <w:t>麦兰威典：</w:t>
                  </w:r>
                  <w:r w:rsidR="00825404" w:rsidRPr="009C1AED">
                    <w:rPr>
                      <w:szCs w:val="24"/>
                    </w:rPr>
                    <w:t>0-5%</w:t>
                  </w:r>
                </w:p>
              </w:tc>
            </w:tr>
            <w:tr w:rsidR="009D1AF9" w:rsidRPr="009C1AED" w14:paraId="4A16DCAB" w14:textId="77777777" w:rsidTr="00D713A8">
              <w:trPr>
                <w:trHeight w:val="72"/>
              </w:trPr>
              <w:tc>
                <w:tcPr>
                  <w:tcW w:w="2817" w:type="dxa"/>
                </w:tcPr>
                <w:p w14:paraId="35DFA157" w14:textId="17462BC4" w:rsidR="009D1AF9" w:rsidRPr="009C1AED" w:rsidRDefault="005D6FB4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rFonts w:hint="eastAsia"/>
                    </w:rPr>
                    <w:t>国际</w:t>
                  </w:r>
                  <w:r w:rsidR="009D1AF9" w:rsidRPr="009C1AED">
                    <w:rPr>
                      <w:rFonts w:hint="eastAsia"/>
                    </w:rPr>
                    <w:t>海</w:t>
                  </w:r>
                  <w:r w:rsidRPr="009C1AED">
                    <w:rPr>
                      <w:rFonts w:hint="eastAsia"/>
                    </w:rPr>
                    <w:t>上</w:t>
                  </w:r>
                  <w:r w:rsidR="009D1AF9" w:rsidRPr="009C1AED">
                    <w:rPr>
                      <w:rFonts w:hint="eastAsia"/>
                    </w:rPr>
                    <w:t>货运代理</w:t>
                  </w:r>
                  <w:r w:rsidR="0000485D" w:rsidRPr="009C1AED">
                    <w:rPr>
                      <w:rFonts w:hint="eastAsia"/>
                    </w:rPr>
                    <w:t>服务</w:t>
                  </w:r>
                </w:p>
              </w:tc>
              <w:tc>
                <w:tcPr>
                  <w:tcW w:w="1861" w:type="dxa"/>
                </w:tcPr>
                <w:p w14:paraId="5F3D4BB0" w14:textId="141656E9" w:rsidR="009D1AF9" w:rsidRPr="009C1AED" w:rsidRDefault="009D1AF9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rFonts w:hint="eastAsia"/>
                      <w:szCs w:val="24"/>
                    </w:rPr>
                    <w:t>中国境内</w:t>
                  </w:r>
                </w:p>
              </w:tc>
              <w:tc>
                <w:tcPr>
                  <w:tcW w:w="2147" w:type="dxa"/>
                </w:tcPr>
                <w:p w14:paraId="4D8D8AE9" w14:textId="7F27C74A" w:rsidR="009D1AF9" w:rsidRPr="009C1AED" w:rsidRDefault="009D1AF9" w:rsidP="00D713A8">
                  <w:pPr>
                    <w:spacing w:before="0" w:beforeAutospacing="0" w:after="0"/>
                    <w:jc w:val="left"/>
                    <w:rPr>
                      <w:szCs w:val="24"/>
                    </w:rPr>
                  </w:pPr>
                  <w:r w:rsidRPr="009C1AED">
                    <w:rPr>
                      <w:rFonts w:hint="eastAsia"/>
                      <w:szCs w:val="24"/>
                    </w:rPr>
                    <w:t>麦兰威典：</w:t>
                  </w:r>
                  <w:r w:rsidRPr="009C1AED">
                    <w:rPr>
                      <w:szCs w:val="24"/>
                    </w:rPr>
                    <w:t>0-5%</w:t>
                  </w:r>
                </w:p>
              </w:tc>
            </w:tr>
            <w:tr w:rsidR="009D1AF9" w:rsidRPr="00050161" w14:paraId="1CF42899" w14:textId="77777777" w:rsidTr="00D713A8">
              <w:trPr>
                <w:trHeight w:val="374"/>
              </w:trPr>
              <w:tc>
                <w:tcPr>
                  <w:tcW w:w="2817" w:type="dxa"/>
                </w:tcPr>
                <w:p w14:paraId="6A1C65A8" w14:textId="1B79F956" w:rsidR="009D1AF9" w:rsidRPr="009C1AED" w:rsidRDefault="005D6FB4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rFonts w:hint="eastAsia"/>
                    </w:rPr>
                    <w:t>国际</w:t>
                  </w:r>
                  <w:r w:rsidR="009D1AF9" w:rsidRPr="009C1AED">
                    <w:rPr>
                      <w:rFonts w:hint="eastAsia"/>
                    </w:rPr>
                    <w:t>陆</w:t>
                  </w:r>
                  <w:r w:rsidRPr="009C1AED">
                    <w:rPr>
                      <w:rFonts w:hint="eastAsia"/>
                    </w:rPr>
                    <w:t>上</w:t>
                  </w:r>
                  <w:r w:rsidR="009D1AF9" w:rsidRPr="009C1AED">
                    <w:rPr>
                      <w:rFonts w:hint="eastAsia"/>
                    </w:rPr>
                    <w:t>货运代理</w:t>
                  </w:r>
                  <w:r w:rsidRPr="009C1AED">
                    <w:rPr>
                      <w:rFonts w:hint="eastAsia"/>
                    </w:rPr>
                    <w:t>服务</w:t>
                  </w:r>
                </w:p>
              </w:tc>
              <w:tc>
                <w:tcPr>
                  <w:tcW w:w="1861" w:type="dxa"/>
                </w:tcPr>
                <w:p w14:paraId="5E74E08E" w14:textId="58791167" w:rsidR="009D1AF9" w:rsidRPr="009C1AED" w:rsidRDefault="009D1AF9" w:rsidP="00D713A8">
                  <w:pPr>
                    <w:spacing w:before="0" w:beforeAutospacing="0" w:after="0"/>
                    <w:rPr>
                      <w:szCs w:val="24"/>
                    </w:rPr>
                  </w:pPr>
                  <w:r w:rsidRPr="009C1AED">
                    <w:rPr>
                      <w:rFonts w:hint="eastAsia"/>
                      <w:szCs w:val="24"/>
                    </w:rPr>
                    <w:t>中国境内</w:t>
                  </w:r>
                </w:p>
              </w:tc>
              <w:tc>
                <w:tcPr>
                  <w:tcW w:w="2147" w:type="dxa"/>
                </w:tcPr>
                <w:p w14:paraId="44D79176" w14:textId="34154C22" w:rsidR="009D1AF9" w:rsidRPr="00050161" w:rsidRDefault="009D1AF9" w:rsidP="00D713A8">
                  <w:pPr>
                    <w:spacing w:before="0" w:beforeAutospacing="0" w:after="0"/>
                    <w:jc w:val="left"/>
                    <w:rPr>
                      <w:szCs w:val="24"/>
                    </w:rPr>
                  </w:pPr>
                  <w:r w:rsidRPr="009C1AED">
                    <w:rPr>
                      <w:rFonts w:hint="eastAsia"/>
                      <w:szCs w:val="24"/>
                    </w:rPr>
                    <w:t>麦兰威典：</w:t>
                  </w:r>
                  <w:r w:rsidRPr="009C1AED">
                    <w:rPr>
                      <w:szCs w:val="24"/>
                    </w:rPr>
                    <w:t>0-5%</w:t>
                  </w:r>
                </w:p>
              </w:tc>
            </w:tr>
          </w:tbl>
          <w:p w14:paraId="45881551" w14:textId="0A006E61" w:rsidR="00946093" w:rsidRPr="00717A78" w:rsidRDefault="00946093" w:rsidP="00D713A8">
            <w:pPr>
              <w:pStyle w:val="a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</w:p>
        </w:tc>
      </w:tr>
    </w:tbl>
    <w:p w14:paraId="290EA2E7" w14:textId="77777777" w:rsidR="00DF301E" w:rsidRPr="009D2094" w:rsidRDefault="00DF301E"/>
    <w:sectPr w:rsidR="00DF301E" w:rsidRPr="009D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B340" w14:textId="77777777" w:rsidR="00F47E15" w:rsidRDefault="00F47E15" w:rsidP="00FD69E4">
      <w:pPr>
        <w:spacing w:before="0" w:after="0"/>
      </w:pPr>
      <w:r>
        <w:separator/>
      </w:r>
    </w:p>
  </w:endnote>
  <w:endnote w:type="continuationSeparator" w:id="0">
    <w:p w14:paraId="439D4EFB" w14:textId="77777777" w:rsidR="00F47E15" w:rsidRDefault="00F47E15" w:rsidP="00FD69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E66C" w14:textId="77777777" w:rsidR="00F47E15" w:rsidRDefault="00F47E15" w:rsidP="00FD69E4">
      <w:pPr>
        <w:spacing w:before="0" w:after="0"/>
      </w:pPr>
      <w:r>
        <w:separator/>
      </w:r>
    </w:p>
  </w:footnote>
  <w:footnote w:type="continuationSeparator" w:id="0">
    <w:p w14:paraId="5C1691FD" w14:textId="77777777" w:rsidR="00F47E15" w:rsidRDefault="00F47E15" w:rsidP="00FD69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5906"/>
    <w:multiLevelType w:val="hybridMultilevel"/>
    <w:tmpl w:val="34981440"/>
    <w:lvl w:ilvl="0" w:tplc="4D261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F0B4F4A"/>
    <w:multiLevelType w:val="singleLevel"/>
    <w:tmpl w:val="8B7A5838"/>
    <w:lvl w:ilvl="0">
      <w:start w:val="2"/>
      <w:numFmt w:val="decimal"/>
      <w:suff w:val="space"/>
      <w:lvlText w:val="%1、"/>
      <w:lvlJc w:val="left"/>
      <w:pPr>
        <w:ind w:left="632" w:firstLine="0"/>
      </w:pPr>
      <w:rPr>
        <w:b w:val="0"/>
        <w:bCs w:val="0"/>
      </w:rPr>
    </w:lvl>
  </w:abstractNum>
  <w:num w:numId="1" w16cid:durableId="148522897">
    <w:abstractNumId w:val="1"/>
  </w:num>
  <w:num w:numId="2" w16cid:durableId="8152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hideSpellingErrors/>
  <w:hideGrammaticalErrors/>
  <w:proofState w:spelling="clean" w:grammar="clean"/>
  <w:trackRevisions/>
  <w:doNotTrackFormatting/>
  <w:styleLockQFSet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  <w:docVar w:name="CheckedForWebBugs" w:val="True"/>
  </w:docVars>
  <w:rsids>
    <w:rsidRoot w:val="00946093"/>
    <w:rsid w:val="0000485D"/>
    <w:rsid w:val="00020860"/>
    <w:rsid w:val="000279EB"/>
    <w:rsid w:val="00032EF2"/>
    <w:rsid w:val="0003536E"/>
    <w:rsid w:val="0004029B"/>
    <w:rsid w:val="000434A3"/>
    <w:rsid w:val="000A2AB0"/>
    <w:rsid w:val="000B3FC0"/>
    <w:rsid w:val="000F1DBE"/>
    <w:rsid w:val="00123BE6"/>
    <w:rsid w:val="00124529"/>
    <w:rsid w:val="001249DE"/>
    <w:rsid w:val="00131B76"/>
    <w:rsid w:val="001353CA"/>
    <w:rsid w:val="00151783"/>
    <w:rsid w:val="00171F86"/>
    <w:rsid w:val="00185356"/>
    <w:rsid w:val="001A70A1"/>
    <w:rsid w:val="001B7130"/>
    <w:rsid w:val="001D4077"/>
    <w:rsid w:val="001D6507"/>
    <w:rsid w:val="001F1070"/>
    <w:rsid w:val="001F1174"/>
    <w:rsid w:val="001F1F6E"/>
    <w:rsid w:val="001F5F09"/>
    <w:rsid w:val="0020051B"/>
    <w:rsid w:val="00220FE2"/>
    <w:rsid w:val="00221946"/>
    <w:rsid w:val="00224009"/>
    <w:rsid w:val="002333C7"/>
    <w:rsid w:val="0024284F"/>
    <w:rsid w:val="00270366"/>
    <w:rsid w:val="00283D75"/>
    <w:rsid w:val="00293D1A"/>
    <w:rsid w:val="002A59A9"/>
    <w:rsid w:val="002F2EB7"/>
    <w:rsid w:val="002F456B"/>
    <w:rsid w:val="002F775A"/>
    <w:rsid w:val="002F7B0E"/>
    <w:rsid w:val="0033132B"/>
    <w:rsid w:val="00336A29"/>
    <w:rsid w:val="00350FE6"/>
    <w:rsid w:val="0035260F"/>
    <w:rsid w:val="003528AC"/>
    <w:rsid w:val="003637E8"/>
    <w:rsid w:val="00365053"/>
    <w:rsid w:val="00366CFA"/>
    <w:rsid w:val="00375B4A"/>
    <w:rsid w:val="00382857"/>
    <w:rsid w:val="003860D7"/>
    <w:rsid w:val="003958A5"/>
    <w:rsid w:val="003A7638"/>
    <w:rsid w:val="003C54A5"/>
    <w:rsid w:val="003C648B"/>
    <w:rsid w:val="003F17CE"/>
    <w:rsid w:val="003F665F"/>
    <w:rsid w:val="004138AE"/>
    <w:rsid w:val="00430E08"/>
    <w:rsid w:val="004321D8"/>
    <w:rsid w:val="00434848"/>
    <w:rsid w:val="00440639"/>
    <w:rsid w:val="00456F33"/>
    <w:rsid w:val="0046603F"/>
    <w:rsid w:val="00471F00"/>
    <w:rsid w:val="00476557"/>
    <w:rsid w:val="004778F0"/>
    <w:rsid w:val="0048285E"/>
    <w:rsid w:val="00487D1C"/>
    <w:rsid w:val="004B1112"/>
    <w:rsid w:val="004B2A31"/>
    <w:rsid w:val="004C3B36"/>
    <w:rsid w:val="004C5464"/>
    <w:rsid w:val="004C7855"/>
    <w:rsid w:val="004D23B6"/>
    <w:rsid w:val="004E5DA4"/>
    <w:rsid w:val="004F29BD"/>
    <w:rsid w:val="004F5687"/>
    <w:rsid w:val="004F6138"/>
    <w:rsid w:val="005120E2"/>
    <w:rsid w:val="00563BD6"/>
    <w:rsid w:val="005640CA"/>
    <w:rsid w:val="00564E03"/>
    <w:rsid w:val="00577750"/>
    <w:rsid w:val="00577792"/>
    <w:rsid w:val="00580AA0"/>
    <w:rsid w:val="005A01D8"/>
    <w:rsid w:val="005A32F5"/>
    <w:rsid w:val="005A3E41"/>
    <w:rsid w:val="005B44ED"/>
    <w:rsid w:val="005D6FB4"/>
    <w:rsid w:val="005E09D9"/>
    <w:rsid w:val="005F1314"/>
    <w:rsid w:val="00603F96"/>
    <w:rsid w:val="00604784"/>
    <w:rsid w:val="0063499D"/>
    <w:rsid w:val="00634B10"/>
    <w:rsid w:val="006429FE"/>
    <w:rsid w:val="0066503D"/>
    <w:rsid w:val="00694E32"/>
    <w:rsid w:val="006B1470"/>
    <w:rsid w:val="006B5679"/>
    <w:rsid w:val="006D437B"/>
    <w:rsid w:val="006E582C"/>
    <w:rsid w:val="00702092"/>
    <w:rsid w:val="00716B13"/>
    <w:rsid w:val="00717A78"/>
    <w:rsid w:val="00742D8B"/>
    <w:rsid w:val="007474B6"/>
    <w:rsid w:val="00774ACA"/>
    <w:rsid w:val="0079562E"/>
    <w:rsid w:val="007A3B88"/>
    <w:rsid w:val="007B15C3"/>
    <w:rsid w:val="007C1899"/>
    <w:rsid w:val="007D0852"/>
    <w:rsid w:val="007E712D"/>
    <w:rsid w:val="00806D9E"/>
    <w:rsid w:val="00816480"/>
    <w:rsid w:val="00825404"/>
    <w:rsid w:val="008346D5"/>
    <w:rsid w:val="0083509C"/>
    <w:rsid w:val="00844B70"/>
    <w:rsid w:val="00851257"/>
    <w:rsid w:val="00852CC5"/>
    <w:rsid w:val="00852FD2"/>
    <w:rsid w:val="008537C0"/>
    <w:rsid w:val="008A2A12"/>
    <w:rsid w:val="008E1881"/>
    <w:rsid w:val="008E1A31"/>
    <w:rsid w:val="008F3841"/>
    <w:rsid w:val="008F42A0"/>
    <w:rsid w:val="00931EFD"/>
    <w:rsid w:val="00946093"/>
    <w:rsid w:val="0095124D"/>
    <w:rsid w:val="0099255A"/>
    <w:rsid w:val="009C1AED"/>
    <w:rsid w:val="009D1AF9"/>
    <w:rsid w:val="009D2094"/>
    <w:rsid w:val="00A05AE3"/>
    <w:rsid w:val="00A16ADE"/>
    <w:rsid w:val="00A3097F"/>
    <w:rsid w:val="00A36501"/>
    <w:rsid w:val="00A37E95"/>
    <w:rsid w:val="00A41F79"/>
    <w:rsid w:val="00A619C4"/>
    <w:rsid w:val="00AA3ABB"/>
    <w:rsid w:val="00AD0B59"/>
    <w:rsid w:val="00AE1160"/>
    <w:rsid w:val="00AF1B9B"/>
    <w:rsid w:val="00AF274C"/>
    <w:rsid w:val="00AF280C"/>
    <w:rsid w:val="00B006E6"/>
    <w:rsid w:val="00B22C52"/>
    <w:rsid w:val="00B27050"/>
    <w:rsid w:val="00B34F7E"/>
    <w:rsid w:val="00B369B4"/>
    <w:rsid w:val="00B726B7"/>
    <w:rsid w:val="00B76D46"/>
    <w:rsid w:val="00B86150"/>
    <w:rsid w:val="00B95724"/>
    <w:rsid w:val="00BD4DBA"/>
    <w:rsid w:val="00BD7B8E"/>
    <w:rsid w:val="00BD7CA4"/>
    <w:rsid w:val="00BD7FA0"/>
    <w:rsid w:val="00BE6D9A"/>
    <w:rsid w:val="00C15355"/>
    <w:rsid w:val="00C32041"/>
    <w:rsid w:val="00C326E1"/>
    <w:rsid w:val="00C34072"/>
    <w:rsid w:val="00C5008A"/>
    <w:rsid w:val="00C711D1"/>
    <w:rsid w:val="00C72F52"/>
    <w:rsid w:val="00C73189"/>
    <w:rsid w:val="00C73A83"/>
    <w:rsid w:val="00C807F1"/>
    <w:rsid w:val="00C81A6B"/>
    <w:rsid w:val="00C83A9D"/>
    <w:rsid w:val="00C93570"/>
    <w:rsid w:val="00CB2118"/>
    <w:rsid w:val="00CD7692"/>
    <w:rsid w:val="00CE2132"/>
    <w:rsid w:val="00CF62B0"/>
    <w:rsid w:val="00D10B67"/>
    <w:rsid w:val="00D1178D"/>
    <w:rsid w:val="00D129BA"/>
    <w:rsid w:val="00D27E8A"/>
    <w:rsid w:val="00D53516"/>
    <w:rsid w:val="00D713A8"/>
    <w:rsid w:val="00D77A2D"/>
    <w:rsid w:val="00D77B45"/>
    <w:rsid w:val="00D832DE"/>
    <w:rsid w:val="00D9336C"/>
    <w:rsid w:val="00D93AAB"/>
    <w:rsid w:val="00DB40DE"/>
    <w:rsid w:val="00DC0116"/>
    <w:rsid w:val="00DC23D1"/>
    <w:rsid w:val="00DD76B9"/>
    <w:rsid w:val="00DF301E"/>
    <w:rsid w:val="00DF51AF"/>
    <w:rsid w:val="00DF6540"/>
    <w:rsid w:val="00E0602B"/>
    <w:rsid w:val="00E2326E"/>
    <w:rsid w:val="00E23A76"/>
    <w:rsid w:val="00E2436F"/>
    <w:rsid w:val="00E33EAB"/>
    <w:rsid w:val="00E5307E"/>
    <w:rsid w:val="00E53585"/>
    <w:rsid w:val="00E722C8"/>
    <w:rsid w:val="00E75062"/>
    <w:rsid w:val="00E9130A"/>
    <w:rsid w:val="00EB1C39"/>
    <w:rsid w:val="00ED74B9"/>
    <w:rsid w:val="00EE1A8F"/>
    <w:rsid w:val="00EF1BBE"/>
    <w:rsid w:val="00F22572"/>
    <w:rsid w:val="00F2631B"/>
    <w:rsid w:val="00F47E15"/>
    <w:rsid w:val="00FB24C5"/>
    <w:rsid w:val="00FD69E4"/>
    <w:rsid w:val="00FE2615"/>
    <w:rsid w:val="00FE7C3B"/>
    <w:rsid w:val="00FF06B3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191C"/>
  <w15:chartTrackingRefBased/>
  <w15:docId w15:val="{506F4269-4F22-9949-B168-D77F0E7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93"/>
    <w:pPr>
      <w:spacing w:before="100" w:beforeAutospacing="1" w:after="240"/>
      <w:jc w:val="both"/>
    </w:pPr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6093"/>
    <w:rPr>
      <w:rFonts w:cs="Simplified Arabic"/>
    </w:rPr>
  </w:style>
  <w:style w:type="character" w:customStyle="1" w:styleId="a4">
    <w:name w:val="正文文本 字符"/>
    <w:basedOn w:val="a0"/>
    <w:link w:val="a3"/>
    <w:uiPriority w:val="99"/>
    <w:rsid w:val="00946093"/>
    <w:rPr>
      <w:rFonts w:ascii="Times New Roman" w:eastAsia="宋体" w:hAnsi="Times New Roman" w:cs="Simplified Arabic"/>
      <w:kern w:val="0"/>
      <w:sz w:val="24"/>
    </w:rPr>
  </w:style>
  <w:style w:type="paragraph" w:styleId="a5">
    <w:name w:val="Revision"/>
    <w:hidden/>
    <w:uiPriority w:val="99"/>
    <w:semiHidden/>
    <w:rsid w:val="00946093"/>
    <w:rPr>
      <w:rFonts w:ascii="Times New Roman" w:eastAsia="宋体" w:hAnsi="Times New Roman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D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C54A5"/>
    <w:pPr>
      <w:spacing w:before="0"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54A5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annotation text"/>
    <w:basedOn w:val="a"/>
    <w:link w:val="ad"/>
    <w:qFormat/>
    <w:rsid w:val="00B86150"/>
    <w:pPr>
      <w:spacing w:before="0" w:beforeAutospacing="0" w:after="0"/>
      <w:jc w:val="left"/>
    </w:pPr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d">
    <w:name w:val="批注文字 字符"/>
    <w:basedOn w:val="a0"/>
    <w:link w:val="ac"/>
    <w:qFormat/>
    <w:rsid w:val="00B86150"/>
    <w:rPr>
      <w:rFonts w:ascii="PMingLiU" w:eastAsia="PMingLiU" w:hAnsi="PMingLiU" w:cs="PMingLiU"/>
      <w:kern w:val="0"/>
      <w:sz w:val="20"/>
      <w:szCs w:val="20"/>
      <w:lang w:eastAsia="zh-TW"/>
    </w:rPr>
  </w:style>
  <w:style w:type="character" w:styleId="ae">
    <w:name w:val="annotation reference"/>
    <w:uiPriority w:val="99"/>
    <w:qFormat/>
    <w:rsid w:val="00B86150"/>
    <w:rPr>
      <w:sz w:val="16"/>
    </w:rPr>
  </w:style>
  <w:style w:type="paragraph" w:styleId="af">
    <w:name w:val="footnote text"/>
    <w:basedOn w:val="a"/>
    <w:link w:val="af0"/>
    <w:rsid w:val="001D4077"/>
    <w:pPr>
      <w:widowControl w:val="0"/>
      <w:snapToGrid w:val="0"/>
      <w:spacing w:before="0" w:beforeAutospacing="0" w:after="0"/>
      <w:jc w:val="left"/>
    </w:pPr>
    <w:rPr>
      <w:kern w:val="2"/>
      <w:sz w:val="18"/>
      <w:szCs w:val="18"/>
    </w:rPr>
  </w:style>
  <w:style w:type="character" w:customStyle="1" w:styleId="af0">
    <w:name w:val="脚注文本 字符"/>
    <w:basedOn w:val="a0"/>
    <w:link w:val="af"/>
    <w:qFormat/>
    <w:rsid w:val="001D4077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1D4077"/>
    <w:rPr>
      <w:vertAlign w:val="superscript"/>
    </w:rPr>
  </w:style>
  <w:style w:type="table" w:styleId="af2">
    <w:name w:val="Table Grid"/>
    <w:basedOn w:val="a1"/>
    <w:qFormat/>
    <w:rsid w:val="004D23B6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macro"/>
    <w:link w:val="af4"/>
    <w:uiPriority w:val="99"/>
    <w:semiHidden/>
    <w:unhideWhenUsed/>
    <w:rsid w:val="006D43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beforeAutospacing="1"/>
      <w:jc w:val="both"/>
    </w:pPr>
    <w:rPr>
      <w:rFonts w:ascii="Consolas" w:eastAsia="宋体" w:hAnsi="Consolas" w:cs="Times New Roman"/>
      <w:kern w:val="0"/>
      <w:sz w:val="20"/>
      <w:szCs w:val="20"/>
    </w:rPr>
  </w:style>
  <w:style w:type="character" w:customStyle="1" w:styleId="af4">
    <w:name w:val="宏文本 字符"/>
    <w:basedOn w:val="a0"/>
    <w:link w:val="af3"/>
    <w:uiPriority w:val="99"/>
    <w:semiHidden/>
    <w:rsid w:val="006D437B"/>
    <w:rPr>
      <w:rFonts w:ascii="Consolas" w:eastAsia="宋体" w:hAnsi="Consolas" w:cs="Times New Roman"/>
      <w:kern w:val="0"/>
      <w:sz w:val="20"/>
      <w:szCs w:val="20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6D437B"/>
    <w:pPr>
      <w:spacing w:before="100" w:beforeAutospacing="1" w:after="240"/>
      <w:jc w:val="both"/>
    </w:pPr>
    <w:rPr>
      <w:rFonts w:ascii="Times New Roman" w:eastAsia="宋体" w:hAnsi="Times New Roman" w:cs="Times New Roman"/>
      <w:b/>
      <w:bCs/>
      <w:lang w:eastAsia="zh-CN"/>
    </w:rPr>
  </w:style>
  <w:style w:type="character" w:customStyle="1" w:styleId="af6">
    <w:name w:val="批注主题 字符"/>
    <w:basedOn w:val="ad"/>
    <w:link w:val="af5"/>
    <w:uiPriority w:val="99"/>
    <w:semiHidden/>
    <w:rsid w:val="006D437B"/>
    <w:rPr>
      <w:rFonts w:ascii="Times New Roman" w:eastAsia="宋体" w:hAnsi="Times New Roman" w:cs="Times New Roman"/>
      <w:b/>
      <w:bCs/>
      <w:kern w:val="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Sunland</dc:creator>
  <cp:keywords/>
  <dc:description/>
  <cp:lastModifiedBy>Sunland</cp:lastModifiedBy>
  <cp:revision>14</cp:revision>
  <dcterms:created xsi:type="dcterms:W3CDTF">2023-03-06T10:09:00Z</dcterms:created>
  <dcterms:modified xsi:type="dcterms:W3CDTF">2023-03-13T08:42:00Z</dcterms:modified>
</cp:coreProperties>
</file>