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center"/>
        <w:rPr>
          <w:rFonts w:ascii="Times New Roman" w:hAnsi="Times New Roman"/>
          <w:color w:val="000000" w:themeColor="text1"/>
          <w:sz w:val="36"/>
          <w:szCs w:val="36"/>
          <w14:textFill>
            <w14:solidFill>
              <w14:schemeClr w14:val="tx1"/>
            </w14:solidFill>
          </w14:textFill>
        </w:rPr>
      </w:pPr>
      <w:r>
        <w:rPr>
          <w:rFonts w:ascii="Times New Roman" w:hAnsi="Times New Roman"/>
          <w:b/>
          <w:color w:val="000000" w:themeColor="text1"/>
          <w:sz w:val="36"/>
          <w:szCs w:val="36"/>
          <w14:textFill>
            <w14:solidFill>
              <w14:schemeClr w14:val="tx1"/>
            </w14:solidFill>
          </w14:textFill>
        </w:rPr>
        <w:t>经营者集中简易案件公示表</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案件名称</w:t>
            </w: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威立雅环境集团与远景投资有限公司等经营者收购RWM控股有限公司股权案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r>
              <w:rPr>
                <w:rFonts w:hint="eastAsia" w:ascii="Times New Roman" w:hAnsi="Times New Roman"/>
                <w:b/>
                <w:color w:val="000000" w:themeColor="text1"/>
                <w:kern w:val="0"/>
                <w:sz w:val="24"/>
                <w:szCs w:val="24"/>
                <w14:textFill>
                  <w14:solidFill>
                    <w14:schemeClr w14:val="tx1"/>
                  </w14:solidFill>
                </w14:textFill>
              </w:rPr>
              <w:t>交易概况</w:t>
            </w:r>
          </w:p>
          <w:p>
            <w:pPr>
              <w:snapToGrid w:val="0"/>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（限200字内）</w:t>
            </w:r>
          </w:p>
        </w:tc>
        <w:tc>
          <w:tcPr>
            <w:tcW w:w="6975" w:type="dxa"/>
            <w:gridSpan w:val="2"/>
          </w:tcPr>
          <w:p>
            <w:pPr>
              <w:widowControl/>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kern w:val="0"/>
                <w:sz w:val="24"/>
                <w:szCs w:val="24"/>
              </w:rPr>
              <w:t>2022</w:t>
            </w:r>
            <w:r>
              <w:rPr>
                <w:rFonts w:hint="eastAsia" w:ascii="Times New Roman" w:hAnsi="Times New Roman"/>
                <w:kern w:val="0"/>
                <w:sz w:val="24"/>
                <w:szCs w:val="24"/>
              </w:rPr>
              <w:t>年</w:t>
            </w:r>
            <w:r>
              <w:rPr>
                <w:rFonts w:ascii="Times New Roman" w:hAnsi="Times New Roman"/>
                <w:kern w:val="0"/>
                <w:sz w:val="24"/>
                <w:szCs w:val="24"/>
              </w:rPr>
              <w:t>11</w:t>
            </w:r>
            <w:r>
              <w:rPr>
                <w:rFonts w:hint="eastAsia" w:ascii="Times New Roman" w:hAnsi="Times New Roman"/>
                <w:kern w:val="0"/>
                <w:sz w:val="24"/>
                <w:szCs w:val="24"/>
              </w:rPr>
              <w:t>月</w:t>
            </w:r>
            <w:r>
              <w:rPr>
                <w:rFonts w:ascii="Times New Roman" w:hAnsi="Times New Roman"/>
                <w:kern w:val="0"/>
                <w:sz w:val="24"/>
                <w:szCs w:val="24"/>
              </w:rPr>
              <w:t>1</w:t>
            </w:r>
            <w:r>
              <w:rPr>
                <w:rFonts w:hint="eastAsia" w:ascii="Times New Roman" w:hAnsi="Times New Roman"/>
                <w:kern w:val="0"/>
                <w:sz w:val="24"/>
                <w:szCs w:val="24"/>
              </w:rPr>
              <w:t>日，迈格码控股有限公司（“</w:t>
            </w:r>
            <w:r>
              <w:rPr>
                <w:rFonts w:hint="eastAsia" w:ascii="Times New Roman" w:hAnsi="Times New Roman"/>
                <w:b/>
                <w:bCs/>
                <w:kern w:val="0"/>
                <w:sz w:val="24"/>
                <w:szCs w:val="24"/>
              </w:rPr>
              <w:t>迈格码</w:t>
            </w:r>
            <w:r>
              <w:rPr>
                <w:rFonts w:hint="eastAsia" w:ascii="Times New Roman" w:hAnsi="Times New Roman"/>
                <w:kern w:val="0"/>
                <w:sz w:val="24"/>
                <w:szCs w:val="24"/>
              </w:rPr>
              <w:t>”）与阿布扎比炼油公司（</w:t>
            </w:r>
            <w:r>
              <w:rPr>
                <w:rFonts w:ascii="Times New Roman" w:hAnsi="Times New Roman" w:eastAsia="仿宋_GB2312"/>
                <w:sz w:val="24"/>
                <w:szCs w:val="24"/>
              </w:rPr>
              <w:t>Takreer</w:t>
            </w:r>
            <w:r>
              <w:rPr>
                <w:rFonts w:hint="eastAsia" w:ascii="Times New Roman" w:hAnsi="Times New Roman"/>
                <w:kern w:val="0"/>
                <w:sz w:val="24"/>
                <w:szCs w:val="24"/>
              </w:rPr>
              <w:t>）（“</w:t>
            </w:r>
            <w:r>
              <w:rPr>
                <w:rFonts w:hint="eastAsia" w:ascii="Times New Roman" w:hAnsi="Times New Roman"/>
                <w:b/>
                <w:bCs/>
                <w:kern w:val="0"/>
                <w:sz w:val="24"/>
                <w:szCs w:val="24"/>
              </w:rPr>
              <w:t>阿布扎比炼油</w:t>
            </w:r>
            <w:r>
              <w:rPr>
                <w:rFonts w:hint="eastAsia" w:ascii="Times New Roman" w:hAnsi="Times New Roman"/>
                <w:kern w:val="0"/>
                <w:sz w:val="24"/>
                <w:szCs w:val="24"/>
              </w:rPr>
              <w:t>”）签署协议，由迈格码收购</w:t>
            </w:r>
            <w:r>
              <w:rPr>
                <w:rFonts w:hint="eastAsia" w:ascii="Times New Roman" w:hAnsi="Times New Roman"/>
                <w:color w:val="000000" w:themeColor="text1"/>
                <w:kern w:val="0"/>
                <w:sz w:val="24"/>
                <w:szCs w:val="24"/>
                <w14:textFill>
                  <w14:solidFill>
                    <w14:schemeClr w14:val="tx1"/>
                  </w14:solidFill>
                </w14:textFill>
              </w:rPr>
              <w:t>RWM控股有限公司（“</w:t>
            </w:r>
            <w:r>
              <w:rPr>
                <w:rFonts w:ascii="Times New Roman" w:hAnsi="Times New Roman"/>
                <w:b/>
                <w:bCs/>
                <w:color w:val="000000" w:themeColor="text1"/>
                <w:kern w:val="0"/>
                <w:sz w:val="24"/>
                <w:szCs w:val="24"/>
                <w14:textFill>
                  <w14:solidFill>
                    <w14:schemeClr w14:val="tx1"/>
                  </w14:solidFill>
                </w14:textFill>
              </w:rPr>
              <w:t>RWM</w:t>
            </w:r>
            <w:r>
              <w:rPr>
                <w:rFonts w:hint="eastAsia" w:ascii="Times New Roman" w:hAnsi="Times New Roman"/>
                <w:color w:val="000000" w:themeColor="text1"/>
                <w:kern w:val="0"/>
                <w:sz w:val="24"/>
                <w:szCs w:val="24"/>
                <w14:textFill>
                  <w14:solidFill>
                    <w14:schemeClr w14:val="tx1"/>
                  </w14:solidFill>
                </w14:textFill>
              </w:rPr>
              <w:t>”）的全部股权。迈格码是由威立雅环境集团（“</w:t>
            </w:r>
            <w:r>
              <w:rPr>
                <w:rFonts w:hint="eastAsia" w:ascii="Times New Roman" w:hAnsi="Times New Roman"/>
                <w:b/>
                <w:bCs/>
                <w:color w:val="000000" w:themeColor="text1"/>
                <w:kern w:val="0"/>
                <w:sz w:val="24"/>
                <w:szCs w:val="24"/>
                <w14:textFill>
                  <w14:solidFill>
                    <w14:schemeClr w14:val="tx1"/>
                  </w14:solidFill>
                </w14:textFill>
              </w:rPr>
              <w:t>威立雅</w:t>
            </w:r>
            <w:r>
              <w:rPr>
                <w:rFonts w:hint="eastAsia" w:ascii="Times New Roman" w:hAnsi="Times New Roman"/>
                <w:color w:val="000000" w:themeColor="text1"/>
                <w:kern w:val="0"/>
                <w:sz w:val="24"/>
                <w:szCs w:val="24"/>
                <w14:textFill>
                  <w14:solidFill>
                    <w14:schemeClr w14:val="tx1"/>
                  </w14:solidFill>
                </w14:textFill>
              </w:rPr>
              <w:t>”）、远景投资有限公司（“</w:t>
            </w:r>
            <w:r>
              <w:rPr>
                <w:rFonts w:hint="eastAsia" w:ascii="Times New Roman" w:hAnsi="Times New Roman"/>
                <w:b/>
                <w:bCs/>
                <w:color w:val="000000" w:themeColor="text1"/>
                <w:kern w:val="0"/>
                <w:sz w:val="24"/>
                <w:szCs w:val="24"/>
                <w14:textFill>
                  <w14:solidFill>
                    <w14:schemeClr w14:val="tx1"/>
                  </w14:solidFill>
                </w14:textFill>
              </w:rPr>
              <w:t>远景投资</w:t>
            </w:r>
            <w:r>
              <w:rPr>
                <w:rFonts w:hint="eastAsia" w:ascii="Times New Roman" w:hAnsi="Times New Roman"/>
                <w:color w:val="000000" w:themeColor="text1"/>
                <w:kern w:val="0"/>
                <w:sz w:val="24"/>
                <w:szCs w:val="24"/>
                <w14:textFill>
                  <w14:solidFill>
                    <w14:schemeClr w14:val="tx1"/>
                  </w14:solidFill>
                </w14:textFill>
              </w:rPr>
              <w:t>”）和阿布扎比发展控股公司（“</w:t>
            </w:r>
            <w:r>
              <w:rPr>
                <w:rFonts w:hint="eastAsia" w:ascii="Times New Roman" w:hAnsi="Times New Roman"/>
                <w:b/>
                <w:bCs/>
                <w:color w:val="000000" w:themeColor="text1"/>
                <w:kern w:val="0"/>
                <w:sz w:val="24"/>
                <w:szCs w:val="24"/>
                <w14:textFill>
                  <w14:solidFill>
                    <w14:schemeClr w14:val="tx1"/>
                  </w14:solidFill>
                </w14:textFill>
              </w:rPr>
              <w:t>阿布扎比发展</w:t>
            </w:r>
            <w:r>
              <w:rPr>
                <w:rFonts w:hint="eastAsia" w:ascii="Times New Roman" w:hAnsi="Times New Roman"/>
                <w:color w:val="000000" w:themeColor="text1"/>
                <w:kern w:val="0"/>
                <w:sz w:val="24"/>
                <w:szCs w:val="24"/>
                <w14:textFill>
                  <w14:solidFill>
                    <w14:schemeClr w14:val="tx1"/>
                  </w14:solidFill>
                </w14:textFill>
              </w:rPr>
              <w:t>”）设立</w:t>
            </w:r>
            <w:r>
              <w:rPr>
                <w:rFonts w:hint="eastAsia" w:ascii="Times New Roman" w:hAnsi="Times New Roman"/>
                <w:color w:val="000000" w:themeColor="text1"/>
                <w:kern w:val="0"/>
                <w:sz w:val="24"/>
                <w:szCs w:val="24"/>
                <w:lang w:eastAsia="zh-CN"/>
                <w14:textFill>
                  <w14:solidFill>
                    <w14:schemeClr w14:val="tx1"/>
                  </w14:solidFill>
                </w14:textFill>
              </w:rPr>
              <w:t>的</w:t>
            </w:r>
            <w:r>
              <w:rPr>
                <w:rFonts w:hint="eastAsia" w:ascii="Times New Roman" w:hAnsi="Times New Roman"/>
                <w:color w:val="000000" w:themeColor="text1"/>
                <w:kern w:val="0"/>
                <w:sz w:val="24"/>
                <w:szCs w:val="24"/>
                <w14:textFill>
                  <w14:solidFill>
                    <w14:schemeClr w14:val="tx1"/>
                  </w14:solidFill>
                </w14:textFill>
              </w:rPr>
              <w:t>一家特殊目的公司。</w:t>
            </w:r>
          </w:p>
          <w:p>
            <w:pPr>
              <w:widowControl/>
              <w:snapToGrid w:val="0"/>
              <w:rPr>
                <w:rFonts w:ascii="Times New Roman" w:hAnsi="Times New Roman"/>
                <w:kern w:val="0"/>
                <w:sz w:val="24"/>
                <w:szCs w:val="24"/>
              </w:rPr>
            </w:pPr>
          </w:p>
          <w:p>
            <w:pPr>
              <w:widowControl/>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kern w:val="0"/>
                <w:sz w:val="24"/>
                <w:szCs w:val="24"/>
              </w:rPr>
              <w:t>在本次交易完成后，</w:t>
            </w:r>
            <w:r>
              <w:rPr>
                <w:rFonts w:hint="eastAsia" w:ascii="Times New Roman" w:hAnsi="Times New Roman"/>
                <w:color w:val="000000" w:themeColor="text1"/>
                <w:kern w:val="0"/>
                <w:sz w:val="24"/>
                <w:szCs w:val="24"/>
                <w14:textFill>
                  <w14:solidFill>
                    <w14:schemeClr w14:val="tx1"/>
                  </w14:solidFill>
                </w14:textFill>
              </w:rPr>
              <w:t>RWM全资所有的境内子公司</w:t>
            </w:r>
            <w:r>
              <w:rPr>
                <w:rFonts w:hint="eastAsia" w:ascii="Times New Roman" w:hAnsi="Times New Roman"/>
                <w:color w:val="000000" w:themeColor="text1"/>
                <w:kern w:val="0"/>
                <w:sz w:val="24"/>
                <w:szCs w:val="24"/>
                <w:lang w:eastAsia="zh-CN"/>
                <w14:textFill>
                  <w14:solidFill>
                    <w14:schemeClr w14:val="tx1"/>
                  </w14:solidFill>
                </w14:textFill>
              </w:rPr>
              <w:t>将仅在</w:t>
            </w:r>
            <w:r>
              <w:rPr>
                <w:rFonts w:hint="eastAsia" w:ascii="Times New Roman" w:hAnsi="Times New Roman"/>
                <w:color w:val="000000" w:themeColor="text1"/>
                <w:kern w:val="0"/>
                <w:sz w:val="24"/>
                <w:szCs w:val="24"/>
                <w14:textFill>
                  <w14:solidFill>
                    <w14:schemeClr w14:val="tx1"/>
                  </w14:solidFill>
                </w14:textFill>
              </w:rPr>
              <w:t>阿布扎比提供危险工业废物的处理和管理服务。在本次交易完成前，RWM是阿布扎比炼油的全资子公司。本次交易完成后，RWM将被威立雅、远景投资和阿布扎比发展间接共同所有。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809" w:type="dxa"/>
            <w:vMerge w:val="restart"/>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参与集中的</w:t>
            </w:r>
          </w:p>
          <w:p>
            <w:pPr>
              <w:snapToGrid w:val="0"/>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经营者简介</w:t>
            </w:r>
          </w:p>
        </w:tc>
        <w:tc>
          <w:tcPr>
            <w:tcW w:w="1796" w:type="dxa"/>
          </w:tcPr>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威立雅</w:t>
            </w:r>
          </w:p>
        </w:tc>
        <w:tc>
          <w:tcPr>
            <w:tcW w:w="5179" w:type="dxa"/>
          </w:tcPr>
          <w:p>
            <w:pPr>
              <w:snapToGrid w:val="0"/>
              <w:rPr>
                <w:rFonts w:ascii="Times New Roman" w:hAnsi="Times New Roman"/>
                <w:kern w:val="0"/>
                <w:sz w:val="24"/>
                <w:szCs w:val="24"/>
              </w:rPr>
            </w:pPr>
            <w:r>
              <w:rPr>
                <w:rFonts w:hint="eastAsia" w:ascii="Times New Roman" w:hAnsi="Times New Roman"/>
                <w:kern w:val="0"/>
                <w:sz w:val="24"/>
                <w:szCs w:val="24"/>
              </w:rPr>
              <w:t>威立雅成立于1995年12月18日，是一家总部位于法国巴黎的公开有限公司。威立雅从事废弃物管理业务、能源管理业务和水务管理业务。</w:t>
            </w:r>
          </w:p>
          <w:p>
            <w:pPr>
              <w:snapToGrid w:val="0"/>
              <w:rPr>
                <w:rFonts w:ascii="Times New Roman" w:hAnsi="Times New Roman"/>
                <w:kern w:val="0"/>
                <w:sz w:val="24"/>
                <w:szCs w:val="24"/>
              </w:rPr>
            </w:pPr>
          </w:p>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kern w:val="0"/>
                <w:sz w:val="24"/>
                <w:szCs w:val="24"/>
              </w:rPr>
              <w:t>威立雅是一家上市公司，无最终控制人。</w:t>
            </w:r>
            <w:r>
              <w:rPr>
                <w:rFonts w:ascii="Times New Roman" w:hAnsi="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exac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1796" w:type="dxa"/>
          </w:tcPr>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远景投资</w:t>
            </w:r>
          </w:p>
        </w:tc>
        <w:tc>
          <w:tcPr>
            <w:tcW w:w="5179" w:type="dxa"/>
          </w:tcPr>
          <w:p>
            <w:pPr>
              <w:snapToGrid w:val="0"/>
              <w:rPr>
                <w:rFonts w:ascii="Times New Roman" w:hAnsi="Times New Roman"/>
                <w:kern w:val="0"/>
                <w:sz w:val="24"/>
                <w:szCs w:val="24"/>
              </w:rPr>
            </w:pPr>
            <w:r>
              <w:rPr>
                <w:rFonts w:hint="eastAsia" w:ascii="Times New Roman" w:hAnsi="Times New Roman"/>
                <w:kern w:val="0"/>
                <w:sz w:val="24"/>
                <w:szCs w:val="24"/>
              </w:rPr>
              <w:t>远景投资于</w:t>
            </w:r>
            <w:r>
              <w:rPr>
                <w:rFonts w:ascii="Times New Roman" w:hAnsi="Times New Roman"/>
                <w:kern w:val="0"/>
                <w:sz w:val="24"/>
                <w:szCs w:val="24"/>
              </w:rPr>
              <w:t>2021</w:t>
            </w:r>
            <w:r>
              <w:rPr>
                <w:rFonts w:hint="eastAsia" w:ascii="Times New Roman" w:hAnsi="Times New Roman"/>
                <w:kern w:val="0"/>
                <w:sz w:val="24"/>
                <w:szCs w:val="24"/>
              </w:rPr>
              <w:t>年</w:t>
            </w:r>
            <w:r>
              <w:rPr>
                <w:rFonts w:ascii="Times New Roman" w:hAnsi="Times New Roman"/>
                <w:kern w:val="0"/>
                <w:sz w:val="24"/>
                <w:szCs w:val="24"/>
              </w:rPr>
              <w:t>8</w:t>
            </w:r>
            <w:r>
              <w:rPr>
                <w:rFonts w:hint="eastAsia" w:ascii="Times New Roman" w:hAnsi="Times New Roman"/>
                <w:kern w:val="0"/>
                <w:sz w:val="24"/>
                <w:szCs w:val="24"/>
              </w:rPr>
              <w:t>月</w:t>
            </w:r>
            <w:r>
              <w:rPr>
                <w:rFonts w:ascii="Times New Roman" w:hAnsi="Times New Roman"/>
                <w:kern w:val="0"/>
                <w:sz w:val="24"/>
                <w:szCs w:val="24"/>
              </w:rPr>
              <w:t>3</w:t>
            </w:r>
            <w:r>
              <w:rPr>
                <w:rFonts w:hint="eastAsia" w:ascii="Times New Roman" w:hAnsi="Times New Roman"/>
                <w:kern w:val="0"/>
                <w:sz w:val="24"/>
                <w:szCs w:val="24"/>
              </w:rPr>
              <w:t>日成立于阿拉伯联合酋长国阿布扎比全球市场金融自由区，是一家投资控股和发展公司。</w:t>
            </w:r>
            <w:r>
              <w:rPr>
                <w:rFonts w:ascii="Times New Roman" w:hAnsi="Times New Roman"/>
                <w:kern w:val="0"/>
                <w:sz w:val="24"/>
                <w:szCs w:val="24"/>
              </w:rPr>
              <w:t xml:space="preserve"> </w:t>
            </w:r>
          </w:p>
          <w:p>
            <w:pPr>
              <w:snapToGrid w:val="0"/>
              <w:rPr>
                <w:rFonts w:ascii="Times New Roman" w:hAnsi="Times New Roman"/>
                <w:kern w:val="0"/>
                <w:sz w:val="24"/>
                <w:szCs w:val="24"/>
              </w:rPr>
            </w:pPr>
          </w:p>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kern w:val="0"/>
                <w:sz w:val="24"/>
                <w:szCs w:val="24"/>
              </w:rPr>
              <w:t>远景投资由</w:t>
            </w:r>
            <w:r>
              <w:rPr>
                <w:rFonts w:hint="eastAsia" w:ascii="Times New Roman" w:hAnsi="Times New Roman"/>
                <w:kern w:val="0"/>
                <w:sz w:val="24"/>
                <w:szCs w:val="24"/>
                <w:lang w:eastAsia="zh-CN"/>
              </w:rPr>
              <w:t>两个自然人家族</w:t>
            </w:r>
            <w:bookmarkStart w:id="2" w:name="_GoBack"/>
            <w:bookmarkEnd w:id="2"/>
            <w:r>
              <w:rPr>
                <w:rFonts w:hint="eastAsia" w:ascii="Times New Roman" w:hAnsi="Times New Roman"/>
                <w:kern w:val="0"/>
                <w:sz w:val="24"/>
                <w:szCs w:val="24"/>
                <w:lang w:eastAsia="zh-CN"/>
              </w:rPr>
              <w:t>通过远景国际投资公司</w:t>
            </w:r>
            <w:r>
              <w:rPr>
                <w:rFonts w:hint="eastAsia" w:ascii="Times New Roman" w:hAnsi="Times New Roman"/>
                <w:kern w:val="0"/>
                <w:sz w:val="24"/>
                <w:szCs w:val="24"/>
              </w:rPr>
              <w:t>最终控制，远景国际投资公司是一家专业的投资公司。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exac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1796" w:type="dxa"/>
          </w:tcPr>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阿布扎比发展</w:t>
            </w:r>
          </w:p>
        </w:tc>
        <w:tc>
          <w:tcPr>
            <w:tcW w:w="5179" w:type="dxa"/>
          </w:tcPr>
          <w:p>
            <w:pPr>
              <w:snapToGrid w:val="0"/>
              <w:rPr>
                <w:rFonts w:ascii="Times New Roman" w:hAnsi="Times New Roman"/>
                <w:kern w:val="0"/>
                <w:sz w:val="24"/>
                <w:szCs w:val="24"/>
              </w:rPr>
            </w:pPr>
            <w:r>
              <w:rPr>
                <w:rFonts w:hint="eastAsia" w:ascii="Times New Roman" w:hAnsi="Times New Roman"/>
                <w:kern w:val="0"/>
                <w:sz w:val="24"/>
                <w:szCs w:val="24"/>
              </w:rPr>
              <w:t>阿布扎比发展于</w:t>
            </w:r>
            <w:r>
              <w:rPr>
                <w:rFonts w:ascii="Times New Roman" w:hAnsi="Times New Roman"/>
                <w:kern w:val="0"/>
                <w:sz w:val="24"/>
                <w:szCs w:val="24"/>
              </w:rPr>
              <w:t>2018</w:t>
            </w:r>
            <w:r>
              <w:rPr>
                <w:rFonts w:hint="eastAsia" w:ascii="Times New Roman" w:hAnsi="Times New Roman"/>
                <w:kern w:val="0"/>
                <w:sz w:val="24"/>
                <w:szCs w:val="24"/>
              </w:rPr>
              <w:t>年</w:t>
            </w:r>
            <w:r>
              <w:rPr>
                <w:rFonts w:ascii="Times New Roman" w:hAnsi="Times New Roman"/>
                <w:kern w:val="0"/>
                <w:sz w:val="24"/>
                <w:szCs w:val="24"/>
              </w:rPr>
              <w:t>3</w:t>
            </w:r>
            <w:r>
              <w:rPr>
                <w:rFonts w:hint="eastAsia" w:ascii="Times New Roman" w:hAnsi="Times New Roman"/>
                <w:kern w:val="0"/>
                <w:sz w:val="24"/>
                <w:szCs w:val="24"/>
              </w:rPr>
              <w:t>月</w:t>
            </w:r>
            <w:r>
              <w:rPr>
                <w:rFonts w:ascii="Times New Roman" w:hAnsi="Times New Roman"/>
                <w:kern w:val="0"/>
                <w:sz w:val="24"/>
                <w:szCs w:val="24"/>
              </w:rPr>
              <w:t>26</w:t>
            </w:r>
            <w:r>
              <w:rPr>
                <w:rFonts w:hint="eastAsia" w:ascii="Times New Roman" w:hAnsi="Times New Roman"/>
                <w:kern w:val="0"/>
                <w:sz w:val="24"/>
                <w:szCs w:val="24"/>
              </w:rPr>
              <w:t>日成立于阿拉伯联合酋长国阿布扎比，是一家在整个阿布扎比经济的多个行业进行直接和间接投资的控股公司。</w:t>
            </w:r>
            <w:r>
              <w:rPr>
                <w:rFonts w:ascii="Times New Roman" w:hAnsi="Times New Roman"/>
                <w:kern w:val="0"/>
                <w:sz w:val="24"/>
                <w:szCs w:val="24"/>
              </w:rPr>
              <w:t xml:space="preserve"> </w:t>
            </w:r>
          </w:p>
          <w:p>
            <w:pPr>
              <w:snapToGrid w:val="0"/>
              <w:rPr>
                <w:rFonts w:ascii="Times New Roman" w:hAnsi="Times New Roman"/>
                <w:kern w:val="0"/>
                <w:sz w:val="24"/>
                <w:szCs w:val="24"/>
              </w:rPr>
            </w:pPr>
          </w:p>
          <w:p>
            <w:pPr>
              <w:snapToGrid w:val="0"/>
              <w:rPr>
                <w:rFonts w:ascii="Times New Roman" w:hAnsi="Times New Roman"/>
                <w:kern w:val="0"/>
                <w:sz w:val="24"/>
                <w:szCs w:val="24"/>
              </w:rPr>
            </w:pPr>
            <w:r>
              <w:rPr>
                <w:rFonts w:hint="eastAsia" w:ascii="Times New Roman" w:hAnsi="Times New Roman"/>
                <w:kern w:val="0"/>
                <w:sz w:val="24"/>
                <w:szCs w:val="24"/>
              </w:rPr>
              <w:t>阿布扎比发展由阿布扎比酋长国政府全资所有。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exac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1796" w:type="dxa"/>
          </w:tcPr>
          <w:p>
            <w:pPr>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RWM</w:t>
            </w:r>
          </w:p>
        </w:tc>
        <w:tc>
          <w:tcPr>
            <w:tcW w:w="5179" w:type="dxa"/>
          </w:tcPr>
          <w:p>
            <w:pPr>
              <w:snapToGrid w:val="0"/>
              <w:rPr>
                <w:rFonts w:ascii="Times New Roman" w:hAnsi="Times New Roman"/>
                <w:kern w:val="0"/>
                <w:sz w:val="24"/>
                <w:szCs w:val="24"/>
              </w:rPr>
            </w:pPr>
            <w:r>
              <w:rPr>
                <w:rFonts w:ascii="Times New Roman" w:hAnsi="Times New Roman"/>
                <w:color w:val="000000" w:themeColor="text1"/>
                <w:kern w:val="0"/>
                <w:sz w:val="24"/>
                <w:szCs w:val="24"/>
                <w14:textFill>
                  <w14:solidFill>
                    <w14:schemeClr w14:val="tx1"/>
                  </w14:solidFill>
                </w14:textFill>
              </w:rPr>
              <w:t>RWM</w:t>
            </w:r>
            <w:r>
              <w:rPr>
                <w:rFonts w:ascii="Times New Roman" w:hAnsi="Times New Roman"/>
                <w:kern w:val="0"/>
                <w:sz w:val="24"/>
                <w:szCs w:val="24"/>
              </w:rPr>
              <w:t xml:space="preserve"> </w:t>
            </w:r>
            <w:r>
              <w:rPr>
                <w:rFonts w:hint="eastAsia" w:ascii="Times New Roman" w:hAnsi="Times New Roman"/>
                <w:kern w:val="0"/>
                <w:sz w:val="24"/>
                <w:szCs w:val="24"/>
              </w:rPr>
              <w:t>于2</w:t>
            </w:r>
            <w:r>
              <w:rPr>
                <w:rFonts w:ascii="Times New Roman" w:hAnsi="Times New Roman"/>
                <w:kern w:val="0"/>
                <w:sz w:val="24"/>
                <w:szCs w:val="24"/>
              </w:rPr>
              <w:t>021</w:t>
            </w:r>
            <w:r>
              <w:rPr>
                <w:rFonts w:hint="eastAsia" w:ascii="Times New Roman" w:hAnsi="Times New Roman"/>
                <w:kern w:val="0"/>
                <w:sz w:val="24"/>
                <w:szCs w:val="24"/>
              </w:rPr>
              <w:t>年</w:t>
            </w:r>
            <w:r>
              <w:rPr>
                <w:rFonts w:ascii="Times New Roman" w:hAnsi="Times New Roman"/>
                <w:kern w:val="0"/>
                <w:sz w:val="24"/>
                <w:szCs w:val="24"/>
              </w:rPr>
              <w:t>12</w:t>
            </w:r>
            <w:r>
              <w:rPr>
                <w:rFonts w:hint="eastAsia" w:ascii="Times New Roman" w:hAnsi="Times New Roman"/>
                <w:kern w:val="0"/>
                <w:sz w:val="24"/>
                <w:szCs w:val="24"/>
              </w:rPr>
              <w:t>月</w:t>
            </w:r>
            <w:r>
              <w:rPr>
                <w:rFonts w:ascii="Times New Roman" w:hAnsi="Times New Roman"/>
                <w:kern w:val="0"/>
                <w:sz w:val="24"/>
                <w:szCs w:val="24"/>
              </w:rPr>
              <w:t>16</w:t>
            </w:r>
            <w:r>
              <w:rPr>
                <w:rFonts w:hint="eastAsia" w:ascii="Times New Roman" w:hAnsi="Times New Roman"/>
                <w:kern w:val="0"/>
                <w:sz w:val="24"/>
                <w:szCs w:val="24"/>
              </w:rPr>
              <w:t>日成立于阿拉伯联合酋长国阿布扎比全球市场金融自由区。在本次交易完成后，</w:t>
            </w:r>
            <w:r>
              <w:rPr>
                <w:rFonts w:hint="eastAsia" w:ascii="Times New Roman" w:hAnsi="Times New Roman"/>
                <w:color w:val="000000" w:themeColor="text1"/>
                <w:kern w:val="0"/>
                <w:sz w:val="24"/>
                <w:szCs w:val="24"/>
                <w14:textFill>
                  <w14:solidFill>
                    <w14:schemeClr w14:val="tx1"/>
                  </w14:solidFill>
                </w14:textFill>
              </w:rPr>
              <w:t>RWM全资所有的境内子公司通过其BeAAT和NORM资产，旨在提供危险工业废物的处理和管理服务。</w:t>
            </w:r>
            <w:r>
              <w:rPr>
                <w:rFonts w:ascii="Times New Roman" w:hAnsi="Times New Roman"/>
                <w:kern w:val="0"/>
                <w:sz w:val="24"/>
                <w:szCs w:val="24"/>
              </w:rPr>
              <w:t xml:space="preserve"> </w:t>
            </w:r>
          </w:p>
          <w:p>
            <w:pPr>
              <w:snapToGrid w:val="0"/>
              <w:rPr>
                <w:rFonts w:ascii="Times New Roman" w:hAnsi="Times New Roman"/>
                <w:kern w:val="0"/>
                <w:sz w:val="24"/>
                <w:szCs w:val="24"/>
              </w:rPr>
            </w:pPr>
          </w:p>
          <w:p>
            <w:pPr>
              <w:snapToGrid w:val="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kern w:val="0"/>
                <w:sz w:val="24"/>
                <w:szCs w:val="24"/>
              </w:rPr>
              <w:t>在本次交易完成前，</w:t>
            </w:r>
            <w:r>
              <w:rPr>
                <w:rFonts w:hint="eastAsia" w:ascii="Times New Roman" w:hAnsi="Times New Roman"/>
                <w:color w:val="000000" w:themeColor="text1"/>
                <w:kern w:val="0"/>
                <w:sz w:val="24"/>
                <w:szCs w:val="24"/>
                <w14:textFill>
                  <w14:solidFill>
                    <w14:schemeClr w14:val="tx1"/>
                  </w14:solidFill>
                </w14:textFill>
              </w:rPr>
              <w:t>RWM本质上由阿布扎比酋长国政府控股。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简易案件理由（可以单选，也可以多选）</w:t>
            </w: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sz w:val="24"/>
                <w:szCs w:val="24"/>
                <w:lang w:val="en-GB"/>
                <w14:textFill>
                  <w14:solidFill>
                    <w14:schemeClr w14:val="tx1"/>
                  </w14:solidFill>
                </w14:textFill>
              </w:rPr>
              <w:sym w:font="Wingdings" w:char="F0A8"/>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sz w:val="24"/>
                <w:szCs w:val="24"/>
                <w:lang w:val="en-GB"/>
                <w14:textFill>
                  <w14:solidFill>
                    <w14:schemeClr w14:val="tx1"/>
                  </w14:solidFill>
                </w14:textFill>
              </w:rPr>
              <w:sym w:font="Wingdings" w:char="F0A8"/>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sz w:val="24"/>
                <w:szCs w:val="24"/>
                <w:lang w:val="en-GB"/>
                <w14:textFill>
                  <w14:solidFill>
                    <w14:schemeClr w14:val="tx1"/>
                  </w14:solidFill>
                </w14:textFill>
              </w:rPr>
              <w:sym w:font="Wingdings" w:char="F0A8"/>
            </w:r>
            <w:r>
              <w:rPr>
                <w:rFonts w:ascii="Times New Roman" w:hAnsi="Times New Roman"/>
                <w:color w:val="000000" w:themeColor="text1"/>
                <w:sz w:val="24"/>
                <w:szCs w:val="24"/>
                <w:lang w:val="en-GB"/>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sz w:val="24"/>
                <w:szCs w:val="24"/>
                <w:lang w:val="en-GB"/>
                <w14:textFill>
                  <w14:solidFill>
                    <w14:schemeClr w14:val="tx1"/>
                  </w14:solidFill>
                </w14:textFill>
              </w:rPr>
              <w:sym w:font="Wingdings" w:char="F0A8"/>
            </w:r>
            <w:r>
              <w:rPr>
                <w:rFonts w:ascii="Times New Roman" w:hAnsi="Times New Roman"/>
                <w:color w:val="000000" w:themeColor="text1"/>
                <w:sz w:val="24"/>
                <w:szCs w:val="24"/>
                <w:lang w:val="en-GB"/>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bookmarkStart w:id="0" w:name="OLE_LINK4"/>
            <w:bookmarkStart w:id="1" w:name="OLE_LINK3"/>
            <w:r>
              <w:rPr>
                <w:rFonts w:ascii="Times New Roman" w:hAnsi="Times New Roman"/>
                <w:color w:val="000000" w:themeColor="text1"/>
                <w:sz w:val="24"/>
                <w:szCs w:val="24"/>
                <w:lang w:val="en-GB"/>
                <w14:textFill>
                  <w14:solidFill>
                    <w14:schemeClr w14:val="tx1"/>
                  </w14:solidFill>
                </w14:textFill>
              </w:rPr>
              <w:sym w:font="Wingdings" w:char="F0FE"/>
            </w:r>
            <w:bookmarkEnd w:id="0"/>
            <w:bookmarkEnd w:id="1"/>
            <w:r>
              <w:rPr>
                <w:rFonts w:ascii="Times New Roman" w:hAnsi="Times New Roman"/>
                <w:color w:val="000000" w:themeColor="text1"/>
                <w:sz w:val="24"/>
                <w:szCs w:val="24"/>
                <w:lang w:val="en-GB"/>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p>
        </w:tc>
        <w:tc>
          <w:tcPr>
            <w:tcW w:w="6975" w:type="dxa"/>
            <w:gridSpan w:val="2"/>
          </w:tcPr>
          <w:p>
            <w:pPr>
              <w:snapToGrid w:val="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sz w:val="24"/>
                <w:szCs w:val="24"/>
                <w:lang w:val="en-GB"/>
                <w14:textFill>
                  <w14:solidFill>
                    <w14:schemeClr w14:val="tx1"/>
                  </w14:solidFill>
                </w14:textFill>
              </w:rPr>
              <w:sym w:font="Wingdings" w:char="F0A8"/>
            </w:r>
            <w:r>
              <w:rPr>
                <w:rFonts w:ascii="Times New Roman" w:hAnsi="Times New Roman"/>
                <w:color w:val="000000" w:themeColor="text1"/>
                <w:sz w:val="24"/>
                <w:szCs w:val="24"/>
                <w:lang w:val="en-GB"/>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1809" w:type="dxa"/>
            <w:shd w:val="clear" w:color="auto" w:fill="D9D9D9"/>
            <w:vAlign w:val="center"/>
          </w:tcPr>
          <w:p>
            <w:pPr>
              <w:snapToGrid w:val="0"/>
              <w:jc w:val="center"/>
              <w:rPr>
                <w:rFonts w:ascii="Times New Roman" w:hAnsi="Times New Roman"/>
                <w:b/>
                <w:color w:val="000000" w:themeColor="text1"/>
                <w:kern w:val="0"/>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备注</w:t>
            </w:r>
          </w:p>
        </w:tc>
        <w:tc>
          <w:tcPr>
            <w:tcW w:w="6975" w:type="dxa"/>
            <w:gridSpan w:val="2"/>
          </w:tcPr>
          <w:p>
            <w:pPr>
              <w:rPr>
                <w:rFonts w:ascii="Times New Roman" w:hAnsi="Times New Roman"/>
                <w:kern w:val="0"/>
                <w:sz w:val="24"/>
                <w:szCs w:val="24"/>
              </w:rPr>
            </w:pPr>
            <w:r>
              <w:rPr>
                <w:rFonts w:hint="eastAsia" w:ascii="Times New Roman" w:hAnsi="Times New Roman"/>
                <w:kern w:val="0"/>
                <w:sz w:val="24"/>
                <w:szCs w:val="24"/>
              </w:rPr>
              <w:t>不适用。</w:t>
            </w:r>
          </w:p>
        </w:tc>
      </w:tr>
    </w:tbl>
    <w:p>
      <w:pPr>
        <w:spacing w:line="360" w:lineRule="auto"/>
        <w:rPr>
          <w:rFonts w:ascii="Times New Roman" w:hAnsi="Times New Roman"/>
          <w:color w:val="000000" w:themeColor="text1"/>
          <w:sz w:val="24"/>
          <w:szCs w:val="24"/>
          <w14:textFill>
            <w14:solidFill>
              <w14:schemeClr w14:val="tx1"/>
            </w14:solidFill>
          </w14:textFill>
        </w:rPr>
      </w:pPr>
    </w:p>
    <w:sectPr>
      <w:footerReference r:id="rId3" w:type="default"/>
      <w:footerReference r:id="rId4" w:type="even"/>
      <w:pgSz w:w="11906" w:h="16838"/>
      <w:pgMar w:top="1440" w:right="1800" w:bottom="108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275023100"/>
      <w:docPartObj>
        <w:docPartGallery w:val="autotext"/>
      </w:docPartObj>
    </w:sdtPr>
    <w:sdtEndPr>
      <w:rPr>
        <w:rStyle w:val="9"/>
        <w:rFonts w:ascii="仿宋" w:hAnsi="仿宋" w:eastAsia="仿宋"/>
      </w:rPr>
    </w:sdtEndPr>
    <w:sdtContent>
      <w:p>
        <w:pPr>
          <w:pStyle w:val="4"/>
          <w:framePr w:wrap="auto" w:vAnchor="text" w:hAnchor="margin" w:xAlign="center" w:y="1"/>
          <w:rPr>
            <w:rStyle w:val="9"/>
            <w:rFonts w:ascii="仿宋" w:hAnsi="仿宋" w:eastAsia="仿宋"/>
          </w:rPr>
        </w:pPr>
        <w:r>
          <w:rPr>
            <w:rStyle w:val="9"/>
            <w:rFonts w:ascii="仿宋" w:hAnsi="仿宋" w:eastAsia="仿宋"/>
          </w:rPr>
          <w:fldChar w:fldCharType="begin"/>
        </w:r>
        <w:r>
          <w:rPr>
            <w:rStyle w:val="9"/>
            <w:rFonts w:ascii="仿宋" w:hAnsi="仿宋" w:eastAsia="仿宋"/>
          </w:rPr>
          <w:instrText xml:space="preserve"> PAGE </w:instrText>
        </w:r>
        <w:r>
          <w:rPr>
            <w:rStyle w:val="9"/>
            <w:rFonts w:ascii="仿宋" w:hAnsi="仿宋" w:eastAsia="仿宋"/>
          </w:rPr>
          <w:fldChar w:fldCharType="separate"/>
        </w:r>
        <w:r>
          <w:rPr>
            <w:rStyle w:val="9"/>
            <w:rFonts w:ascii="仿宋" w:hAnsi="仿宋" w:eastAsia="仿宋"/>
          </w:rPr>
          <w:t>2</w:t>
        </w:r>
        <w:r>
          <w:rPr>
            <w:rStyle w:val="9"/>
            <w:rFonts w:ascii="仿宋" w:hAnsi="仿宋" w:eastAsia="仿宋"/>
          </w:rPr>
          <w:fldChar w:fldCharType="end"/>
        </w:r>
      </w:p>
    </w:sdtContent>
  </w:sdt>
  <w:p>
    <w:pPr>
      <w:pStyle w:val="4"/>
      <w:rPr>
        <w:rFonts w:ascii="Times New Roman" w:hAnsi="Times New Roman"/>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036383314"/>
      <w:docPartObj>
        <w:docPartGallery w:val="autotext"/>
      </w:docPartObj>
    </w:sdtPr>
    <w:sdtEndPr>
      <w:rPr>
        <w:rStyle w:val="9"/>
      </w:rPr>
    </w:sdtEndPr>
    <w:sdtContent>
      <w:p>
        <w:pPr>
          <w:pStyle w:val="4"/>
          <w:framePr w:wrap="auto" w:vAnchor="text" w:hAnchor="margin" w:xAlign="center" w:y="1"/>
          <w:rPr>
            <w:rStyle w:val="9"/>
          </w:rPr>
        </w:pPr>
        <w:r>
          <w:rPr>
            <w:rStyle w:val="9"/>
          </w:rPr>
          <w:fldChar w:fldCharType="begin"/>
        </w:r>
        <w:r>
          <w:rPr>
            <w:rStyle w:val="9"/>
          </w:rPr>
          <w:instrText xml:space="preserve"> PAGE </w:instrText>
        </w:r>
        <w:r>
          <w:rPr>
            <w:rStyle w:val="9"/>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08A2"/>
    <w:rsid w:val="00007E12"/>
    <w:rsid w:val="000129E5"/>
    <w:rsid w:val="00015F7E"/>
    <w:rsid w:val="0001670B"/>
    <w:rsid w:val="00023448"/>
    <w:rsid w:val="00037065"/>
    <w:rsid w:val="00046806"/>
    <w:rsid w:val="00051C61"/>
    <w:rsid w:val="00053829"/>
    <w:rsid w:val="0006220B"/>
    <w:rsid w:val="00080003"/>
    <w:rsid w:val="000805A7"/>
    <w:rsid w:val="0008285B"/>
    <w:rsid w:val="000A1753"/>
    <w:rsid w:val="000B1EFE"/>
    <w:rsid w:val="000B3762"/>
    <w:rsid w:val="000B3AF7"/>
    <w:rsid w:val="000C10A2"/>
    <w:rsid w:val="000C4477"/>
    <w:rsid w:val="000C6394"/>
    <w:rsid w:val="000D56B4"/>
    <w:rsid w:val="000D7EBA"/>
    <w:rsid w:val="000F1B00"/>
    <w:rsid w:val="001074DB"/>
    <w:rsid w:val="00113BAE"/>
    <w:rsid w:val="001164CD"/>
    <w:rsid w:val="00122E0F"/>
    <w:rsid w:val="001243D9"/>
    <w:rsid w:val="00133873"/>
    <w:rsid w:val="00155717"/>
    <w:rsid w:val="00155C08"/>
    <w:rsid w:val="00160E61"/>
    <w:rsid w:val="00172947"/>
    <w:rsid w:val="00174FB0"/>
    <w:rsid w:val="001837A3"/>
    <w:rsid w:val="00187D5C"/>
    <w:rsid w:val="00193BC9"/>
    <w:rsid w:val="001A77F5"/>
    <w:rsid w:val="001C3607"/>
    <w:rsid w:val="001D0C34"/>
    <w:rsid w:val="001D6662"/>
    <w:rsid w:val="001D7BA1"/>
    <w:rsid w:val="001E1FAC"/>
    <w:rsid w:val="0021315C"/>
    <w:rsid w:val="002163D6"/>
    <w:rsid w:val="0022122F"/>
    <w:rsid w:val="00221DC0"/>
    <w:rsid w:val="00230E4D"/>
    <w:rsid w:val="002334AC"/>
    <w:rsid w:val="00243BAD"/>
    <w:rsid w:val="00252EF8"/>
    <w:rsid w:val="00262C69"/>
    <w:rsid w:val="002648BC"/>
    <w:rsid w:val="002665EA"/>
    <w:rsid w:val="00267458"/>
    <w:rsid w:val="002756C0"/>
    <w:rsid w:val="00275CD1"/>
    <w:rsid w:val="00282AB8"/>
    <w:rsid w:val="002840F8"/>
    <w:rsid w:val="0028527F"/>
    <w:rsid w:val="002A3285"/>
    <w:rsid w:val="002A4145"/>
    <w:rsid w:val="002B19C8"/>
    <w:rsid w:val="002B4334"/>
    <w:rsid w:val="002B56DD"/>
    <w:rsid w:val="002D3150"/>
    <w:rsid w:val="002F36DE"/>
    <w:rsid w:val="002F51C0"/>
    <w:rsid w:val="00303F1A"/>
    <w:rsid w:val="00306520"/>
    <w:rsid w:val="00310D7A"/>
    <w:rsid w:val="00327C1B"/>
    <w:rsid w:val="00330E53"/>
    <w:rsid w:val="003435BD"/>
    <w:rsid w:val="003537B9"/>
    <w:rsid w:val="00376936"/>
    <w:rsid w:val="00376EF3"/>
    <w:rsid w:val="00394C9F"/>
    <w:rsid w:val="003B3A59"/>
    <w:rsid w:val="003B759C"/>
    <w:rsid w:val="003C0AEB"/>
    <w:rsid w:val="003C575D"/>
    <w:rsid w:val="003D13C3"/>
    <w:rsid w:val="003D33C2"/>
    <w:rsid w:val="003D7240"/>
    <w:rsid w:val="003E7483"/>
    <w:rsid w:val="003F0F68"/>
    <w:rsid w:val="00403238"/>
    <w:rsid w:val="004363C2"/>
    <w:rsid w:val="004440BF"/>
    <w:rsid w:val="00446C2E"/>
    <w:rsid w:val="00460715"/>
    <w:rsid w:val="00470398"/>
    <w:rsid w:val="0047325B"/>
    <w:rsid w:val="004A17F5"/>
    <w:rsid w:val="004A74EA"/>
    <w:rsid w:val="004C2A4E"/>
    <w:rsid w:val="004C70B7"/>
    <w:rsid w:val="004D37B2"/>
    <w:rsid w:val="004F7688"/>
    <w:rsid w:val="00501C72"/>
    <w:rsid w:val="00506E4B"/>
    <w:rsid w:val="00507846"/>
    <w:rsid w:val="00511470"/>
    <w:rsid w:val="00527F83"/>
    <w:rsid w:val="00546F6E"/>
    <w:rsid w:val="00571F8B"/>
    <w:rsid w:val="00572144"/>
    <w:rsid w:val="00574E95"/>
    <w:rsid w:val="005920BE"/>
    <w:rsid w:val="005A2547"/>
    <w:rsid w:val="005A28D4"/>
    <w:rsid w:val="005C19BE"/>
    <w:rsid w:val="005C480C"/>
    <w:rsid w:val="005D711B"/>
    <w:rsid w:val="005E03E0"/>
    <w:rsid w:val="005F3D2C"/>
    <w:rsid w:val="005F6989"/>
    <w:rsid w:val="00627EF8"/>
    <w:rsid w:val="00630771"/>
    <w:rsid w:val="00630E72"/>
    <w:rsid w:val="006344D5"/>
    <w:rsid w:val="00637643"/>
    <w:rsid w:val="006467D8"/>
    <w:rsid w:val="00651F9C"/>
    <w:rsid w:val="00652DFD"/>
    <w:rsid w:val="006613CF"/>
    <w:rsid w:val="00661A6A"/>
    <w:rsid w:val="00662105"/>
    <w:rsid w:val="00664EE8"/>
    <w:rsid w:val="00681150"/>
    <w:rsid w:val="00687E6E"/>
    <w:rsid w:val="006A4B01"/>
    <w:rsid w:val="006A531B"/>
    <w:rsid w:val="006A6A78"/>
    <w:rsid w:val="006C334D"/>
    <w:rsid w:val="006D0C1D"/>
    <w:rsid w:val="006E0315"/>
    <w:rsid w:val="006E090A"/>
    <w:rsid w:val="006E7350"/>
    <w:rsid w:val="006F55DF"/>
    <w:rsid w:val="006F7693"/>
    <w:rsid w:val="00710140"/>
    <w:rsid w:val="00750E69"/>
    <w:rsid w:val="007634A9"/>
    <w:rsid w:val="007668F4"/>
    <w:rsid w:val="00770406"/>
    <w:rsid w:val="00781530"/>
    <w:rsid w:val="0079392B"/>
    <w:rsid w:val="00795B68"/>
    <w:rsid w:val="007A56E1"/>
    <w:rsid w:val="007B0601"/>
    <w:rsid w:val="007B1376"/>
    <w:rsid w:val="007D0108"/>
    <w:rsid w:val="007E3AA2"/>
    <w:rsid w:val="007F2275"/>
    <w:rsid w:val="00800690"/>
    <w:rsid w:val="00826D44"/>
    <w:rsid w:val="00863DD9"/>
    <w:rsid w:val="008755B6"/>
    <w:rsid w:val="00881356"/>
    <w:rsid w:val="00897E60"/>
    <w:rsid w:val="008E1316"/>
    <w:rsid w:val="00904C24"/>
    <w:rsid w:val="00906700"/>
    <w:rsid w:val="00913CC5"/>
    <w:rsid w:val="00914C14"/>
    <w:rsid w:val="00915F0F"/>
    <w:rsid w:val="009274F5"/>
    <w:rsid w:val="00933DD0"/>
    <w:rsid w:val="00937328"/>
    <w:rsid w:val="00937643"/>
    <w:rsid w:val="00940E45"/>
    <w:rsid w:val="00940FA2"/>
    <w:rsid w:val="009532DF"/>
    <w:rsid w:val="00970077"/>
    <w:rsid w:val="0097361C"/>
    <w:rsid w:val="009775EB"/>
    <w:rsid w:val="00994C75"/>
    <w:rsid w:val="00997019"/>
    <w:rsid w:val="009A4C1F"/>
    <w:rsid w:val="009A5029"/>
    <w:rsid w:val="009B2582"/>
    <w:rsid w:val="009D2953"/>
    <w:rsid w:val="009D38D5"/>
    <w:rsid w:val="009E3D97"/>
    <w:rsid w:val="009F38E4"/>
    <w:rsid w:val="00A01888"/>
    <w:rsid w:val="00A01E75"/>
    <w:rsid w:val="00A04191"/>
    <w:rsid w:val="00A209CF"/>
    <w:rsid w:val="00A232E7"/>
    <w:rsid w:val="00A3629B"/>
    <w:rsid w:val="00A45A34"/>
    <w:rsid w:val="00A52E26"/>
    <w:rsid w:val="00A53F26"/>
    <w:rsid w:val="00A55F5D"/>
    <w:rsid w:val="00A57BC9"/>
    <w:rsid w:val="00A62FD3"/>
    <w:rsid w:val="00A71BAC"/>
    <w:rsid w:val="00A859F5"/>
    <w:rsid w:val="00AA0CC5"/>
    <w:rsid w:val="00AA6EEB"/>
    <w:rsid w:val="00AB3A34"/>
    <w:rsid w:val="00AD1134"/>
    <w:rsid w:val="00AD4346"/>
    <w:rsid w:val="00AE66F4"/>
    <w:rsid w:val="00AE7500"/>
    <w:rsid w:val="00AF0C6C"/>
    <w:rsid w:val="00AF347F"/>
    <w:rsid w:val="00AF73B9"/>
    <w:rsid w:val="00B00AC8"/>
    <w:rsid w:val="00B05D1D"/>
    <w:rsid w:val="00B05F2C"/>
    <w:rsid w:val="00B0718F"/>
    <w:rsid w:val="00B16AB0"/>
    <w:rsid w:val="00B16AFE"/>
    <w:rsid w:val="00B2153E"/>
    <w:rsid w:val="00B318AA"/>
    <w:rsid w:val="00B33424"/>
    <w:rsid w:val="00B33492"/>
    <w:rsid w:val="00B34FA8"/>
    <w:rsid w:val="00B40C02"/>
    <w:rsid w:val="00B42D28"/>
    <w:rsid w:val="00B449FC"/>
    <w:rsid w:val="00B56EB5"/>
    <w:rsid w:val="00B65DD5"/>
    <w:rsid w:val="00B66382"/>
    <w:rsid w:val="00B75340"/>
    <w:rsid w:val="00B80621"/>
    <w:rsid w:val="00B811BE"/>
    <w:rsid w:val="00BA4781"/>
    <w:rsid w:val="00BA4F4C"/>
    <w:rsid w:val="00BC018B"/>
    <w:rsid w:val="00BC4359"/>
    <w:rsid w:val="00BD0BAC"/>
    <w:rsid w:val="00BD10B6"/>
    <w:rsid w:val="00BD6872"/>
    <w:rsid w:val="00BE574F"/>
    <w:rsid w:val="00BF0375"/>
    <w:rsid w:val="00BF04EE"/>
    <w:rsid w:val="00BF2911"/>
    <w:rsid w:val="00BF49DB"/>
    <w:rsid w:val="00BF61FB"/>
    <w:rsid w:val="00C02B30"/>
    <w:rsid w:val="00C07076"/>
    <w:rsid w:val="00C164B7"/>
    <w:rsid w:val="00C21216"/>
    <w:rsid w:val="00C22854"/>
    <w:rsid w:val="00C23B81"/>
    <w:rsid w:val="00C34349"/>
    <w:rsid w:val="00C35C65"/>
    <w:rsid w:val="00C37318"/>
    <w:rsid w:val="00C53D40"/>
    <w:rsid w:val="00C6435F"/>
    <w:rsid w:val="00C7145B"/>
    <w:rsid w:val="00C7469A"/>
    <w:rsid w:val="00C84AC2"/>
    <w:rsid w:val="00C8621B"/>
    <w:rsid w:val="00C86620"/>
    <w:rsid w:val="00CA04D2"/>
    <w:rsid w:val="00CA2702"/>
    <w:rsid w:val="00CB00DF"/>
    <w:rsid w:val="00CB417F"/>
    <w:rsid w:val="00CB562C"/>
    <w:rsid w:val="00CD001E"/>
    <w:rsid w:val="00CD267A"/>
    <w:rsid w:val="00CD4946"/>
    <w:rsid w:val="00D12E41"/>
    <w:rsid w:val="00D329E7"/>
    <w:rsid w:val="00D36758"/>
    <w:rsid w:val="00D579F7"/>
    <w:rsid w:val="00D6078B"/>
    <w:rsid w:val="00D64599"/>
    <w:rsid w:val="00D73C72"/>
    <w:rsid w:val="00D81806"/>
    <w:rsid w:val="00D8611A"/>
    <w:rsid w:val="00D90D2F"/>
    <w:rsid w:val="00DA04B8"/>
    <w:rsid w:val="00DB5728"/>
    <w:rsid w:val="00DE6802"/>
    <w:rsid w:val="00E0592B"/>
    <w:rsid w:val="00E152D6"/>
    <w:rsid w:val="00E170B1"/>
    <w:rsid w:val="00E216D4"/>
    <w:rsid w:val="00E31738"/>
    <w:rsid w:val="00E4031B"/>
    <w:rsid w:val="00E50B63"/>
    <w:rsid w:val="00E86786"/>
    <w:rsid w:val="00E9767B"/>
    <w:rsid w:val="00EB7104"/>
    <w:rsid w:val="00EC09CD"/>
    <w:rsid w:val="00ED0D1B"/>
    <w:rsid w:val="00ED18BB"/>
    <w:rsid w:val="00ED2F80"/>
    <w:rsid w:val="00ED6CCB"/>
    <w:rsid w:val="00ED7742"/>
    <w:rsid w:val="00ED7785"/>
    <w:rsid w:val="00ED7E7B"/>
    <w:rsid w:val="00EE0209"/>
    <w:rsid w:val="00EE2D3F"/>
    <w:rsid w:val="00EE396D"/>
    <w:rsid w:val="00EF6893"/>
    <w:rsid w:val="00F04F9E"/>
    <w:rsid w:val="00F149D9"/>
    <w:rsid w:val="00F1624E"/>
    <w:rsid w:val="00F32F8A"/>
    <w:rsid w:val="00F33CD2"/>
    <w:rsid w:val="00F42A51"/>
    <w:rsid w:val="00F53AD6"/>
    <w:rsid w:val="00F810AA"/>
    <w:rsid w:val="00F8272F"/>
    <w:rsid w:val="00F83A86"/>
    <w:rsid w:val="00FB43EC"/>
    <w:rsid w:val="00FB6B40"/>
    <w:rsid w:val="00FC39F1"/>
    <w:rsid w:val="00FC452B"/>
    <w:rsid w:val="00FE1CBA"/>
    <w:rsid w:val="00FE5862"/>
    <w:rsid w:val="00FF60B2"/>
    <w:rsid w:val="5BE63A25"/>
    <w:rsid w:val="7FC908E5"/>
    <w:rsid w:val="7FDE99B4"/>
    <w:rsid w:val="EFBFE4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rPr>
      <w:sz w:val="20"/>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qFormat/>
    <w:uiPriority w:val="99"/>
  </w:style>
  <w:style w:type="character" w:styleId="10">
    <w:name w:val="annotation reference"/>
    <w:basedOn w:val="8"/>
    <w:unhideWhenUsed/>
    <w:qFormat/>
    <w:uiPriority w:val="99"/>
    <w:rPr>
      <w:sz w:val="16"/>
      <w:szCs w:val="16"/>
    </w:rPr>
  </w:style>
  <w:style w:type="character" w:customStyle="1" w:styleId="11">
    <w:name w:val="页眉 字符"/>
    <w:basedOn w:val="8"/>
    <w:link w:val="5"/>
    <w:qFormat/>
    <w:uiPriority w:val="99"/>
    <w:rPr>
      <w:rFonts w:ascii="Calibri" w:hAnsi="Calibri" w:eastAsia="宋体" w:cs="Times New Roman"/>
      <w:sz w:val="18"/>
      <w:szCs w:val="18"/>
    </w:rPr>
  </w:style>
  <w:style w:type="character" w:customStyle="1" w:styleId="12">
    <w:name w:val="页脚 字符"/>
    <w:basedOn w:val="8"/>
    <w:link w:val="4"/>
    <w:qFormat/>
    <w:uiPriority w:val="99"/>
    <w:rPr>
      <w:rFonts w:ascii="Calibri" w:hAnsi="Calibri" w:eastAsia="宋体" w:cs="Times New Roman"/>
      <w:sz w:val="18"/>
      <w:szCs w:val="18"/>
    </w:rPr>
  </w:style>
  <w:style w:type="character" w:customStyle="1" w:styleId="13">
    <w:name w:val="批注框文本 字符"/>
    <w:basedOn w:val="8"/>
    <w:link w:val="3"/>
    <w:semiHidden/>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rPr>
      <w:rFonts w:ascii="Times New Roman" w:hAnsi="Times New Roman" w:eastAsiaTheme="minorEastAsia"/>
    </w:rPr>
  </w:style>
  <w:style w:type="character" w:customStyle="1" w:styleId="15">
    <w:name w:val="批注文字 字符"/>
    <w:basedOn w:val="8"/>
    <w:link w:val="2"/>
    <w:qFormat/>
    <w:uiPriority w:val="99"/>
    <w:rPr>
      <w:rFonts w:ascii="Calibri" w:hAnsi="Calibri" w:eastAsia="宋体" w:cs="Times New Roman"/>
      <w:sz w:val="20"/>
      <w:szCs w:val="20"/>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163</Words>
  <Characters>932</Characters>
  <Lines>7</Lines>
  <Paragraphs>2</Paragraphs>
  <TotalTime>31</TotalTime>
  <ScaleCrop>false</ScaleCrop>
  <LinksUpToDate>false</LinksUpToDate>
  <CharactersWithSpaces>1093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2023-02-22T17:38:00Z</dcterms:created>
  <dc:creator>陈媚</dc:creator>
  <cp:lastModifiedBy>oa</cp:lastModifiedBy>
  <dcterms:modified xsi:type="dcterms:W3CDTF">2023-02-27T15:31:56Z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