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bookmarkStart w:id="1" w:name="_GoBack"/>
      <w:bookmarkEnd w:id="1"/>
      <w:r>
        <w:rPr>
          <w:rFonts w:eastAsia="黑体"/>
          <w:bCs/>
          <w:sz w:val="36"/>
          <w:szCs w:val="36"/>
        </w:rPr>
        <w:t>经营者集中简易案件公示表</w:t>
      </w:r>
    </w:p>
    <w:tbl>
      <w:tblPr>
        <w:tblStyle w:val="10"/>
        <w:tblW w:w="910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5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szCs w:val="21"/>
              </w:rPr>
              <w:t>海洋网联船务有限公司收购Atlas Corp.股权案</w:t>
            </w:r>
            <w:r>
              <w:rPr>
                <w:rFonts w:ascii="宋体" w:hAnsi="宋体"/>
                <w:szCs w:val="21"/>
              </w:rPr>
              <w:t>（“</w:t>
            </w:r>
            <w:r>
              <w:rPr>
                <w:rFonts w:ascii="宋体" w:hAnsi="宋体"/>
                <w:b/>
                <w:bCs/>
                <w:szCs w:val="21"/>
              </w:rPr>
              <w:t>拟议交易</w:t>
            </w:r>
            <w:r>
              <w:rPr>
                <w:rFonts w:ascii="宋体" w:hAnsi="宋体"/>
                <w:szCs w:val="21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交易概况（限200字内）</w:t>
            </w: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after="0"/>
            </w:pPr>
            <w:r>
              <w:t>拟议交易涉及海洋网联船务</w:t>
            </w:r>
            <w:r>
              <w:rPr>
                <w:szCs w:val="21"/>
              </w:rPr>
              <w:t>有限公司（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b/>
                <w:bCs/>
              </w:rPr>
              <w:t>海洋网联船务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szCs w:val="21"/>
              </w:rPr>
              <w:t>）</w:t>
            </w:r>
            <w:r>
              <w:t>收购</w:t>
            </w:r>
            <w:r>
              <w:rPr>
                <w:szCs w:val="21"/>
              </w:rPr>
              <w:t>Atlas Corp.（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b/>
                <w:bCs/>
              </w:rPr>
              <w:t>Atlas</w:t>
            </w:r>
            <w:r>
              <w:rPr>
                <w:rFonts w:ascii="宋体" w:hAnsi="宋体"/>
              </w:rPr>
              <w:t>”）</w:t>
            </w:r>
            <w:r>
              <w:t>28.9%的股权并将其私有化。</w:t>
            </w:r>
          </w:p>
          <w:p>
            <w:pPr>
              <w:widowControl w:val="0"/>
              <w:autoSpaceDE w:val="0"/>
              <w:adjustRightInd w:val="0"/>
              <w:snapToGrid w:val="0"/>
              <w:spacing w:after="0"/>
            </w:pPr>
            <w:r>
              <w:t>Atlas是一家全球资产管理公司，其目标是利用基础设施资产在海事领域、能源领域和其他基础设施纵向领域获得长期的、经风险调整后的回报。</w:t>
            </w:r>
          </w:p>
          <w:p>
            <w:r>
              <w:rPr>
                <w:rFonts w:hint="eastAsia"/>
              </w:rPr>
              <w:t>本次交易前，尽管</w:t>
            </w:r>
            <w:r>
              <w:rPr>
                <w:szCs w:val="28"/>
              </w:rPr>
              <w:t>费尔法克斯金融公司</w:t>
            </w:r>
            <w:r>
              <w:rPr>
                <w:rFonts w:ascii="宋体" w:hAnsi="宋体"/>
                <w:szCs w:val="28"/>
              </w:rPr>
              <w:t>（“</w:t>
            </w:r>
            <w:r>
              <w:rPr>
                <w:rFonts w:ascii="宋体" w:hAnsi="宋体"/>
                <w:b/>
                <w:bCs/>
                <w:szCs w:val="28"/>
              </w:rPr>
              <w:t>费尔法克斯</w:t>
            </w:r>
            <w:r>
              <w:rPr>
                <w:rFonts w:ascii="宋体" w:hAnsi="宋体"/>
                <w:szCs w:val="28"/>
              </w:rPr>
              <w:t>”）</w:t>
            </w:r>
            <w:r>
              <w:rPr>
                <w:rFonts w:hint="eastAsia"/>
              </w:rPr>
              <w:t>拥有的Atlas股份不到多数，但就本次申报之控制权而言，基于股东大会出席情况及代理权征集记录表明，在近年的年度股东大会上，</w:t>
            </w:r>
            <w:r>
              <w:rPr>
                <w:szCs w:val="28"/>
              </w:rPr>
              <w:t>费尔法克斯</w:t>
            </w:r>
            <w:r>
              <w:rPr>
                <w:rFonts w:hint="eastAsia"/>
              </w:rPr>
              <w:t>代表了出席并投票的多数股份。费尔法克斯可视为事实上单独控制Atlas</w:t>
            </w:r>
            <w:r>
              <w:t>。拟议交易</w:t>
            </w:r>
            <w:r>
              <w:rPr>
                <w:szCs w:val="28"/>
              </w:rPr>
              <w:t>后，</w:t>
            </w:r>
            <w:r>
              <w:t>Atlas的普通股将停止在纽约证券交易所交易，Atlas将由海洋网联船务、</w:t>
            </w:r>
            <w:r>
              <w:rPr>
                <w:szCs w:val="28"/>
              </w:rPr>
              <w:t>费尔法克斯及华盛顿投资有限公司</w:t>
            </w:r>
            <w:r>
              <w:rPr>
                <w:rFonts w:ascii="宋体" w:hAnsi="宋体"/>
                <w:szCs w:val="28"/>
              </w:rPr>
              <w:t>（“</w:t>
            </w:r>
            <w:r>
              <w:rPr>
                <w:rFonts w:ascii="宋体" w:hAnsi="宋体"/>
                <w:b/>
                <w:bCs/>
                <w:szCs w:val="28"/>
              </w:rPr>
              <w:t>华盛顿投资</w:t>
            </w:r>
            <w:r>
              <w:rPr>
                <w:rFonts w:ascii="宋体" w:hAnsi="宋体"/>
                <w:szCs w:val="28"/>
              </w:rPr>
              <w:t>”）</w:t>
            </w:r>
            <w:r>
              <w:t>的关联实体共同控制</w:t>
            </w:r>
            <w:r>
              <w:rPr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参与集中的经营者简介（每个限100字以内）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海洋网联船务</w:t>
            </w:r>
          </w:p>
        </w:tc>
        <w:tc>
          <w:tcPr>
            <w:tcW w:w="5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海洋网联船务</w:t>
            </w:r>
            <w:r>
              <w:rPr>
                <w:color w:val="000000"/>
                <w:szCs w:val="21"/>
              </w:rPr>
              <w:t>于2017年7月7日在</w:t>
            </w:r>
            <w:r>
              <w:rPr>
                <w:rFonts w:hint="eastAsia"/>
                <w:color w:val="000000"/>
                <w:szCs w:val="21"/>
              </w:rPr>
              <w:t>新加坡</w:t>
            </w:r>
            <w:r>
              <w:rPr>
                <w:color w:val="000000"/>
                <w:szCs w:val="21"/>
              </w:rPr>
              <w:t>成立。</w:t>
            </w:r>
            <w:r>
              <w:rPr>
                <w:rFonts w:hint="eastAsia"/>
                <w:color w:val="000000"/>
                <w:szCs w:val="21"/>
              </w:rPr>
              <w:t>海洋网联船务</w:t>
            </w:r>
            <w:r>
              <w:rPr>
                <w:color w:val="000000"/>
                <w:szCs w:val="21"/>
              </w:rPr>
              <w:t>主要在全球范围内</w:t>
            </w:r>
            <w:r>
              <w:rPr>
                <w:rFonts w:hint="eastAsia"/>
                <w:color w:val="000000"/>
                <w:szCs w:val="21"/>
              </w:rPr>
              <w:t>专门</w:t>
            </w:r>
            <w:r>
              <w:rPr>
                <w:color w:val="000000"/>
                <w:szCs w:val="21"/>
              </w:rPr>
              <w:t>从事集装箱运输业务。</w:t>
            </w:r>
          </w:p>
          <w:p>
            <w:pPr>
              <w:snapToGrid w:val="0"/>
              <w:rPr>
                <w:bCs/>
                <w:color w:val="000000"/>
              </w:rPr>
            </w:pPr>
            <w:r>
              <w:rPr>
                <w:color w:val="000000"/>
                <w:szCs w:val="21"/>
              </w:rPr>
              <w:t>海洋网联船务的最终控制人包括</w:t>
            </w:r>
            <w:r>
              <w:rPr>
                <w:rFonts w:hint="eastAsia"/>
                <w:color w:val="000000"/>
                <w:szCs w:val="21"/>
              </w:rPr>
              <w:t>株式会社商船三井（“</w:t>
            </w:r>
            <w:r>
              <w:rPr>
                <w:rFonts w:hint="eastAsia"/>
                <w:b/>
                <w:color w:val="000000"/>
                <w:szCs w:val="21"/>
              </w:rPr>
              <w:t>商船三井</w:t>
            </w:r>
            <w:r>
              <w:rPr>
                <w:rFonts w:hint="eastAsia"/>
                <w:color w:val="000000"/>
                <w:szCs w:val="21"/>
              </w:rPr>
              <w:t>”）、川崎汽船株式会社（“</w:t>
            </w:r>
            <w:r>
              <w:rPr>
                <w:rFonts w:hint="eastAsia"/>
                <w:b/>
                <w:color w:val="000000"/>
                <w:szCs w:val="21"/>
              </w:rPr>
              <w:t>川崎汽船</w:t>
            </w:r>
            <w:r>
              <w:rPr>
                <w:rFonts w:hint="eastAsia"/>
                <w:color w:val="000000"/>
                <w:szCs w:val="21"/>
              </w:rPr>
              <w:t>”）和日本邮船</w:t>
            </w:r>
            <w:r>
              <w:rPr>
                <w:color w:val="000000"/>
                <w:szCs w:val="21"/>
              </w:rPr>
              <w:t>。</w:t>
            </w:r>
            <w:r>
              <w:rPr>
                <w:rFonts w:hint="eastAsia"/>
                <w:color w:val="000000"/>
                <w:szCs w:val="21"/>
              </w:rPr>
              <w:t>商船三井是一家全球性航运公司，在包括铁矿石、煤炭、木片等干散货运输船、原油运输船、液化天然气运输船、汽车运载船等在内的广泛业务领域中满足其众多客户的不同需求。川崎汽船经营的业务范围包括海运、陆运、空运、海陆空联运、港口运输等。日本邮船从事的业务包括班轮贸易、航空货运、物流业务、散货船运业务、房地产业务以及其他相关服务业务。</w:t>
            </w:r>
            <w:r>
              <w:rPr>
                <w:color w:val="000000"/>
                <w:szCs w:val="21"/>
              </w:rPr>
              <w:t>为明确起见</w:t>
            </w:r>
            <w:r>
              <w:rPr>
                <w:rFonts w:hint="eastAsia"/>
                <w:color w:val="000000"/>
                <w:szCs w:val="21"/>
              </w:rPr>
              <w:t>，除其各自在海洋网联船务董事会中的席位外，</w:t>
            </w:r>
            <w:r>
              <w:rPr>
                <w:color w:val="000000"/>
                <w:szCs w:val="21"/>
              </w:rPr>
              <w:t>商船三井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color w:val="000000"/>
                <w:szCs w:val="21"/>
              </w:rPr>
              <w:t>川崎汽船和日本邮船不</w:t>
            </w:r>
            <w:r>
              <w:rPr>
                <w:rFonts w:hint="eastAsia"/>
                <w:color w:val="000000"/>
                <w:szCs w:val="21"/>
              </w:rPr>
              <w:t>参与海洋网联船务的日常运营。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t>Atlas</w:t>
            </w:r>
          </w:p>
        </w:tc>
        <w:tc>
          <w:tcPr>
            <w:tcW w:w="5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t>Atlas</w:t>
            </w:r>
            <w:r>
              <w:rPr>
                <w:rFonts w:hint="eastAsia"/>
              </w:rPr>
              <w:t>于2</w:t>
            </w:r>
            <w:r>
              <w:t>019</w:t>
            </w:r>
            <w:r>
              <w:rPr>
                <w:rFonts w:hint="eastAsia"/>
              </w:rPr>
              <w:t>年1</w:t>
            </w:r>
            <w:r>
              <w:t>0</w:t>
            </w:r>
            <w:r>
              <w:rPr>
                <w:rFonts w:hint="eastAsia"/>
              </w:rPr>
              <w:t>月1日成立于马绍尔群岛共和国，</w:t>
            </w:r>
            <w:r>
              <w:t>是以下两家投资组合公司的母公司，即：塞斯潘公司，提供船舶租赁服务；APR能源，提供能源项目设计、采购和施工服务。</w:t>
            </w:r>
          </w:p>
          <w:p>
            <w:pPr>
              <w:widowControl w:val="0"/>
              <w:autoSpaceDE w:val="0"/>
              <w:adjustRightInd w:val="0"/>
              <w:snapToGrid w:val="0"/>
              <w:spacing w:after="0"/>
            </w:pPr>
            <w:r>
              <w:rPr>
                <w:rFonts w:hint="eastAsia"/>
              </w:rPr>
              <w:t>就本次交易之控制权而言，交易前费尔法克斯可视为事实上单独控制Atlas</w:t>
            </w:r>
            <w:r>
              <w:rPr>
                <w:szCs w:val="28"/>
              </w:rPr>
              <w:t>。</w:t>
            </w:r>
            <w:r>
              <w:t>费尔法克斯通过其子公司在不动产和意外保险，以及再保险和</w:t>
            </w:r>
            <w:r>
              <w:rPr>
                <w:rFonts w:hint="eastAsia"/>
              </w:rPr>
              <w:t>相关</w:t>
            </w:r>
            <w:r>
              <w:t>投资管理领域从事业务。Atlas在纽约证券交易所上市。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</w:rPr>
              <w:t>费尔法克斯</w:t>
            </w:r>
          </w:p>
        </w:tc>
        <w:tc>
          <w:tcPr>
            <w:tcW w:w="5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after="0"/>
            </w:pPr>
            <w:r>
              <w:t>费尔法克斯</w:t>
            </w:r>
            <w:r>
              <w:rPr>
                <w:rFonts w:hint="eastAsia"/>
              </w:rPr>
              <w:t>于1</w:t>
            </w:r>
            <w:r>
              <w:t>951</w:t>
            </w:r>
            <w:r>
              <w:rPr>
                <w:rFonts w:hint="eastAsia"/>
              </w:rPr>
              <w:t>年3月1</w:t>
            </w:r>
            <w:r>
              <w:t>3</w:t>
            </w:r>
            <w:r>
              <w:rPr>
                <w:rFonts w:hint="eastAsia"/>
              </w:rPr>
              <w:t>日成立于加拿大。</w:t>
            </w:r>
            <w:r>
              <w:t>费尔法克斯通过其子公司在不动产和意外保险，以及再保险和</w:t>
            </w:r>
            <w:r>
              <w:rPr>
                <w:rFonts w:hint="eastAsia"/>
              </w:rPr>
              <w:t>相关</w:t>
            </w:r>
            <w:r>
              <w:t>投资管理领域从事业务。</w:t>
            </w:r>
          </w:p>
          <w:p>
            <w:pPr>
              <w:widowControl w:val="0"/>
              <w:autoSpaceDE w:val="0"/>
              <w:adjustRightInd w:val="0"/>
              <w:snapToGrid w:val="0"/>
              <w:spacing w:after="0"/>
              <w:rPr>
                <w:szCs w:val="21"/>
              </w:rPr>
            </w:pPr>
            <w:r>
              <w:t>费尔法克斯在多伦多证券交易所上市，无最终控制人。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</w:rPr>
              <w:t>华盛顿投资</w:t>
            </w:r>
          </w:p>
        </w:tc>
        <w:tc>
          <w:tcPr>
            <w:tcW w:w="5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after="0"/>
            </w:pPr>
            <w:r>
              <w:t>华盛顿投资</w:t>
            </w:r>
            <w:r>
              <w:rPr>
                <w:rFonts w:hint="eastAsia"/>
              </w:rPr>
              <w:t>于2</w:t>
            </w:r>
            <w:r>
              <w:t>011</w:t>
            </w:r>
            <w:r>
              <w:rPr>
                <w:rFonts w:hint="eastAsia"/>
              </w:rPr>
              <w:t>年5月1</w:t>
            </w:r>
            <w:r>
              <w:t>7</w:t>
            </w:r>
            <w:r>
              <w:rPr>
                <w:rFonts w:hint="eastAsia"/>
              </w:rPr>
              <w:t>日成立于美国，</w:t>
            </w:r>
            <w:r>
              <w:t>是一家投资公司。华盛顿投资及其</w:t>
            </w:r>
            <w:r>
              <w:rPr>
                <w:rFonts w:hint="eastAsia"/>
              </w:rPr>
              <w:t>他由罗伊·丹尼斯·华盛顿信托基金控制的</w:t>
            </w:r>
            <w:r>
              <w:t>实体</w:t>
            </w:r>
            <w:r>
              <w:rPr>
                <w:rFonts w:ascii="宋体" w:hAnsi="宋体"/>
              </w:rPr>
              <w:t>（“</w:t>
            </w:r>
            <w:r>
              <w:rPr>
                <w:rFonts w:ascii="宋体" w:hAnsi="宋体"/>
                <w:b/>
                <w:bCs/>
              </w:rPr>
              <w:t>华盛顿家族</w:t>
            </w:r>
            <w:r>
              <w:rPr>
                <w:rFonts w:ascii="宋体" w:hAnsi="宋体"/>
              </w:rPr>
              <w:t>”</w:t>
            </w:r>
            <w:r>
              <w:t>）投资的业务涉及铁路运输、重型设备配送、环境修复、采矿、海上运输</w:t>
            </w:r>
            <w:r>
              <w:rPr>
                <w:rFonts w:hint="eastAsia"/>
              </w:rPr>
              <w:t>、航空技术与服务</w:t>
            </w:r>
            <w:r>
              <w:t>和船舶制造。</w:t>
            </w:r>
          </w:p>
          <w:p>
            <w:pPr>
              <w:widowControl w:val="0"/>
              <w:autoSpaceDE w:val="0"/>
              <w:adjustRightInd w:val="0"/>
              <w:snapToGrid w:val="0"/>
              <w:spacing w:after="0"/>
              <w:rPr>
                <w:szCs w:val="21"/>
              </w:rPr>
            </w:pPr>
            <w:r>
              <w:rPr>
                <w:rFonts w:hint="eastAsia"/>
              </w:rPr>
              <w:t>罗伊·丹尼斯·华盛顿信托是华盛顿投资的最终受益所有人。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简易案件理由（可以单选，也可以多选）</w:t>
            </w: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00FE"/>
            </w:r>
            <w:r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备注</w:t>
            </w: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纵向关</w:t>
            </w:r>
            <w:r>
              <w:rPr>
                <w:rFonts w:hint="eastAsia" w:cs="Times New Roman"/>
                <w:b/>
                <w:color w:val="000000"/>
              </w:rPr>
              <w:t>联</w:t>
            </w:r>
            <w:r>
              <w:rPr>
                <w:rFonts w:cs="Times New Roman"/>
                <w:b/>
                <w:color w:val="000000"/>
              </w:rPr>
              <w:t>：</w:t>
            </w:r>
          </w:p>
          <w:tbl>
            <w:tblPr>
              <w:tblStyle w:val="11"/>
              <w:tblW w:w="690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62"/>
              <w:gridCol w:w="2410"/>
              <w:gridCol w:w="283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0"/>
                    </w:rPr>
                    <w:t>相关商品市场</w:t>
                  </w: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0"/>
                    </w:rPr>
                    <w:t>相关地域市场</w:t>
                  </w:r>
                </w:p>
              </w:tc>
              <w:tc>
                <w:tcPr>
                  <w:tcW w:w="2835" w:type="dxa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0"/>
                    </w:rPr>
                    <w:t>2021年市场份额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</w:trPr>
              <w:tc>
                <w:tcPr>
                  <w:tcW w:w="1662" w:type="dxa"/>
                  <w:vMerge w:val="restart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Cs w:val="24"/>
                    </w:rPr>
                    <w:t>集装箱</w:t>
                  </w:r>
                  <w:r>
                    <w:rPr>
                      <w:b/>
                      <w:bCs/>
                      <w:szCs w:val="24"/>
                    </w:rPr>
                    <w:t>船</w:t>
                  </w:r>
                  <w:r>
                    <w:rPr>
                      <w:rFonts w:hint="eastAsia"/>
                      <w:b/>
                      <w:bCs/>
                      <w:szCs w:val="24"/>
                    </w:rPr>
                    <w:t>舶</w:t>
                  </w:r>
                  <w:r>
                    <w:rPr>
                      <w:b/>
                      <w:bCs/>
                      <w:szCs w:val="24"/>
                    </w:rPr>
                    <w:t>租赁服务</w:t>
                  </w:r>
                </w:p>
              </w:tc>
              <w:tc>
                <w:tcPr>
                  <w:tcW w:w="2410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全球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4"/>
                    </w:rPr>
                  </w:pPr>
                  <w:bookmarkStart w:id="0" w:name="_Hlk126322046"/>
                  <w:r>
                    <w:rPr>
                      <w:szCs w:val="24"/>
                    </w:rPr>
                    <w:t>Atlas</w:t>
                  </w:r>
                  <w:bookmarkEnd w:id="0"/>
                  <w:r>
                    <w:rPr>
                      <w:szCs w:val="24"/>
                    </w:rPr>
                    <w:t>：[5-10]%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0" w:hRule="atLeast"/>
              </w:trPr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中国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Atlas：[10-15]%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restart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集装箱班轮运输服务</w:t>
                  </w: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远东→印度次大陆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印度次大陆→远东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北美洲</w:t>
                  </w:r>
                  <w:r>
                    <w:rPr>
                      <w:rFonts w:hint="eastAsia"/>
                      <w:szCs w:val="20"/>
                    </w:rPr>
                    <w:t>→</w:t>
                  </w:r>
                  <w:r>
                    <w:rPr>
                      <w:rFonts w:hint="eastAsia" w:cs="宋体"/>
                      <w:szCs w:val="20"/>
                    </w:rPr>
                    <w:t>远东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[15-20]%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远东</w:t>
                  </w:r>
                  <w:r>
                    <w:rPr>
                      <w:rFonts w:hint="eastAsia"/>
                      <w:szCs w:val="20"/>
                    </w:rPr>
                    <w:t>→</w:t>
                  </w:r>
                  <w:r>
                    <w:rPr>
                      <w:rFonts w:hint="eastAsia" w:cs="宋体"/>
                      <w:szCs w:val="20"/>
                    </w:rPr>
                    <w:t>北美洲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[10-15]%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拉丁美洲</w:t>
                  </w:r>
                  <w:r>
                    <w:rPr>
                      <w:rFonts w:hint="eastAsia"/>
                      <w:szCs w:val="20"/>
                    </w:rPr>
                    <w:t>→</w:t>
                  </w:r>
                  <w:r>
                    <w:rPr>
                      <w:rFonts w:hint="eastAsia" w:cs="宋体"/>
                      <w:szCs w:val="20"/>
                    </w:rPr>
                    <w:t>远东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[15-20]%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远东</w:t>
                  </w:r>
                  <w:r>
                    <w:rPr>
                      <w:rFonts w:hint="eastAsia"/>
                      <w:szCs w:val="20"/>
                    </w:rPr>
                    <w:t>→</w:t>
                  </w:r>
                  <w:r>
                    <w:rPr>
                      <w:rFonts w:hint="eastAsia" w:cs="宋体"/>
                      <w:szCs w:val="20"/>
                    </w:rPr>
                    <w:t>拉丁美洲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北欧→远东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[15-20]%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远东→北欧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[10-15]%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地中海→远东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[10-15]%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远东→地中海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中东→远东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远东→中东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[0-5]%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大洋洲→远东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[5-10]%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  <w:vMerge w:val="continue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rFonts w:hint="eastAsia" w:cs="宋体"/>
                      <w:szCs w:val="20"/>
                    </w:rPr>
                    <w:t>远东→大洋洲</w:t>
                  </w:r>
                </w:p>
              </w:tc>
              <w:tc>
                <w:tcPr>
                  <w:tcW w:w="2835" w:type="dxa"/>
                  <w:vAlign w:val="center"/>
                </w:tcPr>
                <w:p>
                  <w:pPr>
                    <w:spacing w:before="0" w:beforeAutospacing="0" w:after="0"/>
                    <w:jc w:val="left"/>
                    <w:rPr>
                      <w:szCs w:val="20"/>
                    </w:rPr>
                  </w:pPr>
                  <w:r>
                    <w:rPr>
                      <w:szCs w:val="24"/>
                    </w:rPr>
                    <w:t>海洋网联船务：</w:t>
                  </w:r>
                  <w:r>
                    <w:rPr>
                      <w:szCs w:val="20"/>
                    </w:rPr>
                    <w:t>[5-10]%</w:t>
                  </w:r>
                </w:p>
              </w:tc>
            </w:tr>
          </w:tbl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</w:p>
          <w:p>
            <w:pPr>
              <w:pStyle w:val="4"/>
              <w:widowControl w:val="0"/>
              <w:autoSpaceDE w:val="0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ified Arabic">
    <w:altName w:val="Times New Roman"/>
    <w:panose1 w:val="02020603050405020304"/>
    <w:charset w:val="B2"/>
    <w:family w:val="roman"/>
    <w:pitch w:val="default"/>
    <w:sig w:usb0="00000000" w:usb1="00000000" w:usb2="00000008" w:usb3="00000000" w:csb0="00000041" w:csb1="00000000"/>
  </w:font>
  <w:font w:name="PMingLiU">
    <w:altName w:val="Droid Sans Fallback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onsolas">
    <w:altName w:val="Liberation Sans Narrow"/>
    <w:panose1 w:val="020B0609020204030204"/>
    <w:charset w:val="00"/>
    <w:family w:val="modern"/>
    <w:pitch w:val="default"/>
    <w:sig w:usb0="00000000" w:usb1="00000000" w:usb2="00000009" w:usb3="00000000" w:csb0="0000019F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hideSpellingErrors/>
  <w:hideGrammaticalErrors/>
  <w:doNotTrackFormatting/>
  <w:trackRevisions w:val="true"/>
  <w:documentProtection w:enforcement="0"/>
  <w:styleLockQFSet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MbIwsDQ2MjIyNjZR0lEKTi0uzszPAykwrAUA/XItfSwAAAA="/>
    <w:docVar w:name="CheckedForWebBugs" w:val="True"/>
  </w:docVars>
  <w:rsids>
    <w:rsidRoot w:val="00946093"/>
    <w:rsid w:val="00002C3C"/>
    <w:rsid w:val="00026643"/>
    <w:rsid w:val="000D6452"/>
    <w:rsid w:val="00171F86"/>
    <w:rsid w:val="00185356"/>
    <w:rsid w:val="001A70A1"/>
    <w:rsid w:val="001B3D8D"/>
    <w:rsid w:val="001B7130"/>
    <w:rsid w:val="001D4077"/>
    <w:rsid w:val="001F1174"/>
    <w:rsid w:val="0020142C"/>
    <w:rsid w:val="00220FE2"/>
    <w:rsid w:val="00224009"/>
    <w:rsid w:val="0029554E"/>
    <w:rsid w:val="002B75CB"/>
    <w:rsid w:val="002B795F"/>
    <w:rsid w:val="002F2EB7"/>
    <w:rsid w:val="002F775A"/>
    <w:rsid w:val="002F7B0E"/>
    <w:rsid w:val="0033132B"/>
    <w:rsid w:val="00336A29"/>
    <w:rsid w:val="0035260F"/>
    <w:rsid w:val="003677AF"/>
    <w:rsid w:val="00382857"/>
    <w:rsid w:val="003A7638"/>
    <w:rsid w:val="003B31AD"/>
    <w:rsid w:val="003C54A5"/>
    <w:rsid w:val="004138AE"/>
    <w:rsid w:val="0044008A"/>
    <w:rsid w:val="00440639"/>
    <w:rsid w:val="00447ED0"/>
    <w:rsid w:val="00476557"/>
    <w:rsid w:val="004778F0"/>
    <w:rsid w:val="00482624"/>
    <w:rsid w:val="00486E4A"/>
    <w:rsid w:val="004A68C1"/>
    <w:rsid w:val="004B2A31"/>
    <w:rsid w:val="004C3B36"/>
    <w:rsid w:val="004D23B6"/>
    <w:rsid w:val="004F29BD"/>
    <w:rsid w:val="005640CA"/>
    <w:rsid w:val="005A01D8"/>
    <w:rsid w:val="005A32F5"/>
    <w:rsid w:val="005D7705"/>
    <w:rsid w:val="005E09D9"/>
    <w:rsid w:val="00650007"/>
    <w:rsid w:val="0066503D"/>
    <w:rsid w:val="00694E32"/>
    <w:rsid w:val="006D086A"/>
    <w:rsid w:val="006D437B"/>
    <w:rsid w:val="006E582C"/>
    <w:rsid w:val="00717A78"/>
    <w:rsid w:val="00774ACA"/>
    <w:rsid w:val="007A3B88"/>
    <w:rsid w:val="007C1899"/>
    <w:rsid w:val="007D0852"/>
    <w:rsid w:val="00806D9E"/>
    <w:rsid w:val="008346D5"/>
    <w:rsid w:val="00844B70"/>
    <w:rsid w:val="00851257"/>
    <w:rsid w:val="00852CC5"/>
    <w:rsid w:val="00870E26"/>
    <w:rsid w:val="00881755"/>
    <w:rsid w:val="008F42A0"/>
    <w:rsid w:val="00931EFD"/>
    <w:rsid w:val="00946093"/>
    <w:rsid w:val="009D2094"/>
    <w:rsid w:val="00A05AE3"/>
    <w:rsid w:val="00A619C4"/>
    <w:rsid w:val="00A9017F"/>
    <w:rsid w:val="00A91A03"/>
    <w:rsid w:val="00AA3ABB"/>
    <w:rsid w:val="00AA6B50"/>
    <w:rsid w:val="00AE1160"/>
    <w:rsid w:val="00AF274C"/>
    <w:rsid w:val="00B34F7E"/>
    <w:rsid w:val="00B369B4"/>
    <w:rsid w:val="00B7453F"/>
    <w:rsid w:val="00B76D46"/>
    <w:rsid w:val="00B86150"/>
    <w:rsid w:val="00BD4DBA"/>
    <w:rsid w:val="00BD7FA0"/>
    <w:rsid w:val="00BE6D9A"/>
    <w:rsid w:val="00C32041"/>
    <w:rsid w:val="00C34072"/>
    <w:rsid w:val="00C807F1"/>
    <w:rsid w:val="00C81A6B"/>
    <w:rsid w:val="00C83A9D"/>
    <w:rsid w:val="00CB2118"/>
    <w:rsid w:val="00CB4279"/>
    <w:rsid w:val="00CD7692"/>
    <w:rsid w:val="00D10B67"/>
    <w:rsid w:val="00D168C5"/>
    <w:rsid w:val="00D53516"/>
    <w:rsid w:val="00D53DDF"/>
    <w:rsid w:val="00D73641"/>
    <w:rsid w:val="00DC23D1"/>
    <w:rsid w:val="00DD76B9"/>
    <w:rsid w:val="00DF301E"/>
    <w:rsid w:val="00E0602B"/>
    <w:rsid w:val="00E23A76"/>
    <w:rsid w:val="00E2436F"/>
    <w:rsid w:val="00E33EAB"/>
    <w:rsid w:val="00E34BE7"/>
    <w:rsid w:val="00E53585"/>
    <w:rsid w:val="00E722C8"/>
    <w:rsid w:val="00EB11E2"/>
    <w:rsid w:val="00EB1C39"/>
    <w:rsid w:val="00EC75B6"/>
    <w:rsid w:val="00ED74B9"/>
    <w:rsid w:val="00EE1A8F"/>
    <w:rsid w:val="00EE6392"/>
    <w:rsid w:val="00EF1C18"/>
    <w:rsid w:val="00F2631B"/>
    <w:rsid w:val="00F863A4"/>
    <w:rsid w:val="00FA12CF"/>
    <w:rsid w:val="00FC457C"/>
    <w:rsid w:val="00FD69E4"/>
    <w:rsid w:val="00FE2615"/>
    <w:rsid w:val="FD8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40"/>
      <w:jc w:val="both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2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beforeAutospacing="1"/>
      <w:jc w:val="both"/>
    </w:pPr>
    <w:rPr>
      <w:rFonts w:ascii="Consolas" w:hAnsi="Consolas" w:eastAsia="宋体" w:cs="Times New Roman"/>
      <w:kern w:val="0"/>
      <w:sz w:val="20"/>
      <w:szCs w:val="20"/>
      <w:lang w:val="en-US" w:eastAsia="zh-CN" w:bidi="ar-SA"/>
    </w:rPr>
  </w:style>
  <w:style w:type="paragraph" w:styleId="3">
    <w:name w:val="annotation text"/>
    <w:basedOn w:val="1"/>
    <w:link w:val="20"/>
    <w:qFormat/>
    <w:uiPriority w:val="0"/>
    <w:pPr>
      <w:spacing w:before="0" w:beforeAutospacing="0" w:after="0"/>
      <w:jc w:val="left"/>
    </w:pPr>
    <w:rPr>
      <w:rFonts w:ascii="PMingLiU" w:hAnsi="PMingLiU" w:eastAsia="PMingLiU" w:cs="PMingLiU"/>
      <w:sz w:val="20"/>
      <w:szCs w:val="20"/>
      <w:lang w:eastAsia="zh-TW"/>
    </w:rPr>
  </w:style>
  <w:style w:type="paragraph" w:styleId="4">
    <w:name w:val="Body Text"/>
    <w:basedOn w:val="1"/>
    <w:link w:val="15"/>
    <w:unhideWhenUsed/>
    <w:qFormat/>
    <w:uiPriority w:val="99"/>
    <w:rPr>
      <w:rFonts w:cs="Simplified Arabic"/>
    </w:rPr>
  </w:style>
  <w:style w:type="paragraph" w:styleId="5">
    <w:name w:val="Balloon Text"/>
    <w:basedOn w:val="1"/>
    <w:link w:val="19"/>
    <w:semiHidden/>
    <w:unhideWhenUsed/>
    <w:qFormat/>
    <w:uiPriority w:val="99"/>
    <w:pPr>
      <w:spacing w:before="0" w:after="0"/>
    </w:pPr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21"/>
    <w:qFormat/>
    <w:uiPriority w:val="0"/>
    <w:pPr>
      <w:widowControl w:val="0"/>
      <w:snapToGrid w:val="0"/>
      <w:spacing w:before="0" w:beforeAutospacing="0" w:after="0"/>
      <w:jc w:val="left"/>
    </w:pPr>
    <w:rPr>
      <w:kern w:val="2"/>
      <w:sz w:val="18"/>
      <w:szCs w:val="18"/>
    </w:rPr>
  </w:style>
  <w:style w:type="paragraph" w:styleId="9">
    <w:name w:val="annotation subject"/>
    <w:basedOn w:val="3"/>
    <w:next w:val="3"/>
    <w:link w:val="23"/>
    <w:semiHidden/>
    <w:unhideWhenUsed/>
    <w:qFormat/>
    <w:uiPriority w:val="99"/>
    <w:pPr>
      <w:spacing w:before="100" w:beforeAutospacing="1" w:after="240"/>
      <w:jc w:val="both"/>
    </w:pPr>
    <w:rPr>
      <w:rFonts w:ascii="Times New Roman" w:hAnsi="Times New Roman" w:eastAsia="宋体" w:cs="Times New Roman"/>
      <w:b/>
      <w:bCs/>
      <w:lang w:eastAsia="zh-CN"/>
    </w:rPr>
  </w:style>
  <w:style w:type="table" w:styleId="11">
    <w:name w:val="Table Grid"/>
    <w:basedOn w:val="10"/>
    <w:qFormat/>
    <w:uiPriority w:val="39"/>
    <w:rPr>
      <w:rFonts w:ascii="Calibri" w:hAnsi="Calibri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qFormat/>
    <w:uiPriority w:val="99"/>
    <w:rPr>
      <w:sz w:val="16"/>
    </w:rPr>
  </w:style>
  <w:style w:type="character" w:styleId="14">
    <w:name w:val="footnote reference"/>
    <w:basedOn w:val="12"/>
    <w:semiHidden/>
    <w:unhideWhenUsed/>
    <w:qFormat/>
    <w:uiPriority w:val="99"/>
    <w:rPr>
      <w:vertAlign w:val="superscript"/>
    </w:rPr>
  </w:style>
  <w:style w:type="character" w:customStyle="1" w:styleId="15">
    <w:name w:val="正文文本 字符"/>
    <w:basedOn w:val="12"/>
    <w:link w:val="4"/>
    <w:qFormat/>
    <w:uiPriority w:val="99"/>
    <w:rPr>
      <w:rFonts w:ascii="Times New Roman" w:hAnsi="Times New Roman" w:eastAsia="宋体" w:cs="Simplified Arabic"/>
      <w:kern w:val="0"/>
      <w:sz w:val="24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customStyle="1" w:styleId="17">
    <w:name w:val="页眉 字符"/>
    <w:basedOn w:val="12"/>
    <w:link w:val="7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9">
    <w:name w:val="批注框文本 字符"/>
    <w:basedOn w:val="12"/>
    <w:link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0">
    <w:name w:val="批注文字 字符"/>
    <w:basedOn w:val="12"/>
    <w:link w:val="3"/>
    <w:qFormat/>
    <w:uiPriority w:val="0"/>
    <w:rPr>
      <w:rFonts w:ascii="PMingLiU" w:hAnsi="PMingLiU" w:eastAsia="PMingLiU" w:cs="PMingLiU"/>
      <w:kern w:val="0"/>
      <w:sz w:val="20"/>
      <w:szCs w:val="20"/>
      <w:lang w:eastAsia="zh-TW"/>
    </w:rPr>
  </w:style>
  <w:style w:type="character" w:customStyle="1" w:styleId="21">
    <w:name w:val="脚注文本 字符"/>
    <w:basedOn w:val="12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宏文本 字符"/>
    <w:basedOn w:val="12"/>
    <w:link w:val="2"/>
    <w:semiHidden/>
    <w:qFormat/>
    <w:uiPriority w:val="99"/>
    <w:rPr>
      <w:rFonts w:ascii="Consolas" w:hAnsi="Consolas" w:eastAsia="宋体" w:cs="Times New Roman"/>
      <w:kern w:val="0"/>
      <w:sz w:val="20"/>
      <w:szCs w:val="20"/>
    </w:rPr>
  </w:style>
  <w:style w:type="character" w:customStyle="1" w:styleId="23">
    <w:name w:val="批注主题 字符"/>
    <w:basedOn w:val="20"/>
    <w:link w:val="9"/>
    <w:semiHidden/>
    <w:qFormat/>
    <w:uiPriority w:val="99"/>
    <w:rPr>
      <w:rFonts w:ascii="Times New Roman" w:hAnsi="Times New Roman" w:eastAsia="宋体" w:cs="Times New Roman"/>
      <w:b/>
      <w:bCs/>
      <w:kern w:val="0"/>
      <w:sz w:val="20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</Words>
  <Characters>1633</Characters>
  <Lines>13</Lines>
  <Paragraphs>3</Paragraphs>
  <TotalTime>0</TotalTime>
  <ScaleCrop>false</ScaleCrop>
  <LinksUpToDate>false</LinksUpToDate>
  <CharactersWithSpaces>1916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2023-02-03T15:55:00Z</dcterms:created>
  <dc:creator>Sunland</dc:creator>
  <cp:lastModifiedBy>oa</cp:lastModifiedBy>
  <dcterms:modified xsi:type="dcterms:W3CDTF">2023-02-06T17:56:01Z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