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Cs/>
          <w:sz w:val="36"/>
          <w:szCs w:val="36"/>
        </w:rPr>
      </w:pPr>
      <w:bookmarkStart w:id="0" w:name="_GoBack"/>
      <w:r>
        <w:rPr>
          <w:rFonts w:hint="eastAsia" w:ascii="黑体" w:hAnsi="黑体" w:eastAsia="黑体" w:cs="黑体"/>
          <w:bCs/>
          <w:sz w:val="36"/>
          <w:szCs w:val="36"/>
          <w:lang w:val="en-US" w:eastAsia="zh-CN"/>
        </w:rPr>
        <w:t xml:space="preserve"> </w:t>
      </w:r>
      <w:r>
        <w:rPr>
          <w:rFonts w:hint="eastAsia" w:ascii="黑体" w:hAnsi="黑体" w:eastAsia="黑体" w:cs="黑体"/>
          <w:bCs/>
          <w:sz w:val="36"/>
          <w:szCs w:val="36"/>
        </w:rPr>
        <w:t>经营者集中简易案件公示表</w:t>
      </w:r>
    </w:p>
    <w:bookmarkEnd w:id="0"/>
    <w:p>
      <w:pPr>
        <w:pStyle w:val="2"/>
      </w:pPr>
    </w:p>
    <w:tbl>
      <w:tblPr>
        <w:tblStyle w:val="4"/>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1311"/>
        <w:gridCol w:w="6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883" w:type="dxa"/>
            <w:shd w:val="clear" w:color="auto" w:fill="D9D9D9"/>
            <w:noWrap w:val="0"/>
            <w:vAlign w:val="center"/>
          </w:tcPr>
          <w:p>
            <w:pPr>
              <w:pStyle w:val="3"/>
              <w:adjustRightInd w:val="0"/>
              <w:snapToGrid w:val="0"/>
              <w:spacing w:after="0"/>
              <w:jc w:val="center"/>
              <w:rPr>
                <w:rFonts w:ascii="宋体" w:hAnsi="宋体" w:cs="宋体"/>
                <w:bCs/>
                <w:color w:val="000000"/>
                <w:lang w:val="en-US"/>
              </w:rPr>
            </w:pPr>
            <w:r>
              <w:rPr>
                <w:rFonts w:hint="eastAsia" w:ascii="宋体" w:hAnsi="宋体" w:cs="宋体"/>
                <w:bCs/>
                <w:color w:val="000000"/>
              </w:rPr>
              <w:t>案件名称</w:t>
            </w:r>
          </w:p>
        </w:tc>
        <w:tc>
          <w:tcPr>
            <w:tcW w:w="7757" w:type="dxa"/>
            <w:gridSpan w:val="2"/>
            <w:noWrap w:val="0"/>
            <w:vAlign w:val="center"/>
          </w:tcPr>
          <w:p>
            <w:pPr>
              <w:adjustRightInd w:val="0"/>
              <w:snapToGrid w:val="0"/>
              <w:spacing w:after="0"/>
              <w:rPr>
                <w:rFonts w:ascii="宋体" w:hAnsi="宋体" w:cs="宋体"/>
                <w:bCs/>
                <w:color w:val="000000"/>
                <w:lang w:val="en-US"/>
              </w:rPr>
            </w:pPr>
            <w:r>
              <w:rPr>
                <w:rFonts w:hint="eastAsia" w:ascii="宋体" w:hAnsi="宋体" w:cs="宋体"/>
                <w:bCs/>
                <w:color w:val="000000"/>
                <w:lang w:val="en-US"/>
              </w:rPr>
              <w:t>南方电网调峰调频发电有限公司与广东水电二局股份有限公司等经营者新设合营企业案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9" w:hRule="atLeast"/>
          <w:jc w:val="center"/>
        </w:trPr>
        <w:tc>
          <w:tcPr>
            <w:tcW w:w="1883" w:type="dxa"/>
            <w:shd w:val="clear" w:color="auto" w:fill="D9D9D9"/>
            <w:noWrap w:val="0"/>
            <w:vAlign w:val="center"/>
          </w:tcPr>
          <w:p>
            <w:pPr>
              <w:pStyle w:val="3"/>
              <w:adjustRightInd w:val="0"/>
              <w:snapToGrid w:val="0"/>
              <w:spacing w:after="0"/>
              <w:jc w:val="center"/>
              <w:rPr>
                <w:rFonts w:ascii="宋体" w:hAnsi="宋体" w:cs="宋体"/>
                <w:bCs/>
                <w:color w:val="000000"/>
                <w:lang w:val="en-US" w:eastAsia="zh-CN"/>
              </w:rPr>
            </w:pPr>
            <w:r>
              <w:rPr>
                <w:rFonts w:hint="eastAsia" w:ascii="宋体" w:hAnsi="宋体" w:cs="宋体"/>
                <w:bCs/>
                <w:color w:val="000000"/>
                <w:lang w:eastAsia="zh-CN"/>
              </w:rPr>
              <w:t>交易概况</w:t>
            </w:r>
          </w:p>
        </w:tc>
        <w:tc>
          <w:tcPr>
            <w:tcW w:w="7757" w:type="dxa"/>
            <w:gridSpan w:val="2"/>
            <w:noWrap w:val="0"/>
            <w:vAlign w:val="center"/>
          </w:tcPr>
          <w:p>
            <w:pPr>
              <w:widowControl w:val="0"/>
              <w:adjustRightInd w:val="0"/>
              <w:snapToGrid w:val="0"/>
              <w:spacing w:after="0"/>
              <w:rPr>
                <w:rFonts w:ascii="宋体" w:hAnsi="宋体" w:cs="宋体"/>
              </w:rPr>
            </w:pPr>
            <w:r>
              <w:rPr>
                <w:rFonts w:hint="eastAsia" w:ascii="宋体" w:hAnsi="宋体" w:cs="宋体"/>
                <w:bCs/>
                <w:color w:val="000000"/>
                <w:lang w:val="en-US" w:eastAsia="zh-Hans"/>
              </w:rPr>
              <w:t>南方电网调峰调频发电有限公司（“南网调峰调频”）和广东水电二局股份有限公司（“</w:t>
            </w:r>
            <w:r>
              <w:rPr>
                <w:rFonts w:hint="eastAsia" w:ascii="宋体" w:hAnsi="宋体" w:cs="宋体"/>
                <w:bCs/>
                <w:color w:val="000000"/>
                <w:lang w:val="en-US"/>
              </w:rPr>
              <w:t>粤水电</w:t>
            </w:r>
            <w:r>
              <w:rPr>
                <w:rFonts w:hint="eastAsia" w:ascii="宋体" w:hAnsi="宋体" w:cs="宋体"/>
                <w:bCs/>
                <w:color w:val="000000"/>
                <w:lang w:val="en-US" w:eastAsia="zh-Hans"/>
              </w:rPr>
              <w:t>”）</w:t>
            </w:r>
            <w:r>
              <w:rPr>
                <w:rFonts w:hint="eastAsia" w:ascii="宋体" w:hAnsi="宋体" w:cs="宋体"/>
                <w:bCs/>
                <w:color w:val="000000"/>
                <w:lang w:val="en-US"/>
              </w:rPr>
              <w:t>及</w:t>
            </w:r>
            <w:r>
              <w:rPr>
                <w:rFonts w:hint="eastAsia" w:ascii="宋体" w:hAnsi="宋体" w:cs="宋体"/>
                <w:bCs/>
                <w:color w:val="000000"/>
                <w:lang w:val="en-US" w:eastAsia="zh-Hans"/>
              </w:rPr>
              <w:t>中国能源建设集团广东省电力设计研究院有限公司（“广东院”）拟共同新设合营企业（“合营企业”），从事水电站的水工观测、生产巡检、人员培训、标识标牌、安全督查等运维服务</w:t>
            </w:r>
            <w:r>
              <w:rPr>
                <w:rFonts w:hint="eastAsia" w:ascii="宋体" w:hAnsi="宋体" w:cs="宋体"/>
                <w:bCs/>
                <w:color w:val="000000"/>
                <w:lang w:val="en-US"/>
              </w:rPr>
              <w:t>。</w:t>
            </w:r>
            <w:r>
              <w:rPr>
                <w:rFonts w:hint="eastAsia" w:ascii="宋体" w:hAnsi="宋体" w:cs="宋体"/>
                <w:bCs/>
                <w:color w:val="000000"/>
                <w:lang w:val="en-US" w:eastAsia="zh-Hans"/>
              </w:rPr>
              <w:t>其中，南网</w:t>
            </w:r>
            <w:r>
              <w:rPr>
                <w:rFonts w:hint="eastAsia" w:ascii="宋体" w:hAnsi="宋体" w:cs="宋体"/>
                <w:bCs/>
                <w:color w:val="000000"/>
                <w:lang w:val="en-US"/>
              </w:rPr>
              <w:t>调峰调</w:t>
            </w:r>
            <w:r>
              <w:rPr>
                <w:rFonts w:hint="eastAsia" w:ascii="宋体" w:hAnsi="宋体" w:cs="宋体"/>
                <w:bCs/>
                <w:color w:val="000000"/>
                <w:lang w:val="en-US" w:eastAsia="zh-Hans"/>
              </w:rPr>
              <w:t>频将持有合营企业</w:t>
            </w:r>
            <w:r>
              <w:rPr>
                <w:rFonts w:hint="eastAsia" w:ascii="宋体" w:hAnsi="宋体" w:cs="宋体"/>
                <w:bCs/>
                <w:color w:val="000000"/>
                <w:lang w:val="en-US"/>
              </w:rPr>
              <w:t>40</w:t>
            </w:r>
            <w:r>
              <w:rPr>
                <w:rFonts w:hint="eastAsia" w:ascii="宋体" w:hAnsi="宋体" w:cs="宋体"/>
                <w:bCs/>
                <w:color w:val="000000"/>
                <w:lang w:val="en-US" w:eastAsia="zh-Hans"/>
              </w:rPr>
              <w:t>%股权，</w:t>
            </w:r>
            <w:r>
              <w:rPr>
                <w:rFonts w:hint="eastAsia" w:ascii="宋体" w:hAnsi="宋体" w:cs="宋体"/>
                <w:bCs/>
                <w:color w:val="000000"/>
                <w:lang w:val="en-US"/>
              </w:rPr>
              <w:t>粤水电及广东院分别持有</w:t>
            </w:r>
            <w:r>
              <w:rPr>
                <w:rFonts w:hint="eastAsia" w:ascii="宋体" w:hAnsi="宋体" w:cs="宋体"/>
                <w:bCs/>
                <w:color w:val="000000"/>
                <w:lang w:val="en-US" w:eastAsia="zh-Hans"/>
              </w:rPr>
              <w:t>合营企业30%股权。本次交易完成后，南网</w:t>
            </w:r>
            <w:r>
              <w:rPr>
                <w:rFonts w:hint="eastAsia" w:ascii="宋体" w:hAnsi="宋体" w:cs="宋体"/>
                <w:bCs/>
                <w:color w:val="000000"/>
                <w:lang w:val="en-US"/>
              </w:rPr>
              <w:t>调峰调</w:t>
            </w:r>
            <w:r>
              <w:rPr>
                <w:rFonts w:hint="eastAsia" w:ascii="宋体" w:hAnsi="宋体" w:cs="宋体"/>
                <w:bCs/>
                <w:color w:val="000000"/>
                <w:lang w:val="en-US" w:eastAsia="zh-Hans"/>
              </w:rPr>
              <w:t>频</w:t>
            </w:r>
            <w:r>
              <w:rPr>
                <w:rFonts w:hint="eastAsia" w:ascii="宋体" w:hAnsi="宋体" w:cs="宋体"/>
                <w:bCs/>
                <w:color w:val="000000"/>
                <w:lang w:val="en-US"/>
              </w:rPr>
              <w:t>、粤水电及广东院</w:t>
            </w:r>
            <w:r>
              <w:rPr>
                <w:rFonts w:hint="eastAsia" w:ascii="宋体" w:hAnsi="宋体" w:cs="宋体"/>
                <w:bCs/>
                <w:color w:val="000000"/>
                <w:lang w:val="en-US" w:eastAsia="zh-Hans"/>
              </w:rPr>
              <w:t>将共同控制合营企业。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883" w:type="dxa"/>
            <w:vMerge w:val="restart"/>
            <w:shd w:val="clear" w:color="auto" w:fill="D9D9D9"/>
            <w:noWrap w:val="0"/>
            <w:vAlign w:val="center"/>
          </w:tcPr>
          <w:p>
            <w:pPr>
              <w:pStyle w:val="3"/>
              <w:adjustRightInd w:val="0"/>
              <w:snapToGrid w:val="0"/>
              <w:spacing w:after="0"/>
              <w:rPr>
                <w:rFonts w:ascii="宋体" w:hAnsi="宋体" w:cs="宋体"/>
                <w:bCs/>
                <w:color w:val="000000"/>
                <w:lang w:val="en-US" w:eastAsia="zh-CN"/>
              </w:rPr>
            </w:pPr>
            <w:r>
              <w:rPr>
                <w:rFonts w:hint="eastAsia" w:ascii="宋体" w:hAnsi="宋体" w:cs="宋体"/>
                <w:bCs/>
                <w:color w:val="000000"/>
                <w:lang w:eastAsia="zh-CN"/>
              </w:rPr>
              <w:t>参与集中的经营者简介</w:t>
            </w:r>
          </w:p>
        </w:tc>
        <w:tc>
          <w:tcPr>
            <w:tcW w:w="1311" w:type="dxa"/>
            <w:noWrap w:val="0"/>
            <w:vAlign w:val="center"/>
          </w:tcPr>
          <w:p>
            <w:pPr>
              <w:widowControl w:val="0"/>
              <w:adjustRightInd w:val="0"/>
              <w:snapToGrid w:val="0"/>
              <w:spacing w:after="0"/>
              <w:jc w:val="center"/>
              <w:rPr>
                <w:rFonts w:ascii="宋体" w:hAnsi="宋体" w:cs="宋体"/>
                <w:bCs/>
                <w:color w:val="000000"/>
              </w:rPr>
            </w:pPr>
            <w:r>
              <w:rPr>
                <w:rFonts w:hint="eastAsia" w:ascii="宋体" w:hAnsi="宋体" w:cs="宋体"/>
                <w:bCs/>
                <w:color w:val="000000"/>
                <w:lang w:val="en-US" w:eastAsia="zh-Hans"/>
              </w:rPr>
              <w:t>1、南网调峰调频</w:t>
            </w:r>
          </w:p>
        </w:tc>
        <w:tc>
          <w:tcPr>
            <w:tcW w:w="6446" w:type="dxa"/>
            <w:noWrap w:val="0"/>
            <w:vAlign w:val="center"/>
          </w:tcPr>
          <w:p>
            <w:pPr>
              <w:widowControl w:val="0"/>
              <w:adjustRightInd w:val="0"/>
              <w:snapToGrid w:val="0"/>
              <w:spacing w:after="0"/>
              <w:rPr>
                <w:rFonts w:ascii="宋体" w:hAnsi="宋体" w:cs="宋体"/>
                <w:bCs/>
                <w:color w:val="000000"/>
                <w:lang w:val="en-US" w:eastAsia="zh-Hans"/>
              </w:rPr>
            </w:pPr>
            <w:r>
              <w:rPr>
                <w:rFonts w:hint="eastAsia" w:ascii="宋体" w:hAnsi="宋体" w:cs="宋体"/>
                <w:bCs/>
                <w:color w:val="000000"/>
                <w:lang w:val="en-US" w:eastAsia="zh-Hans"/>
              </w:rPr>
              <w:t>南网调峰调频于</w:t>
            </w:r>
            <w:r>
              <w:rPr>
                <w:rFonts w:hint="eastAsia" w:ascii="宋体" w:hAnsi="宋体" w:cs="宋体"/>
                <w:bCs/>
                <w:color w:val="000000"/>
                <w:lang w:val="en-US"/>
              </w:rPr>
              <w:t>2018年1月1日成立</w:t>
            </w:r>
            <w:r>
              <w:rPr>
                <w:rFonts w:hint="eastAsia" w:ascii="宋体" w:hAnsi="宋体" w:cs="宋体"/>
                <w:bCs/>
                <w:color w:val="000000"/>
                <w:lang w:val="en-US" w:eastAsia="zh-Hans"/>
              </w:rPr>
              <w:t>于</w:t>
            </w:r>
            <w:r>
              <w:rPr>
                <w:rFonts w:hint="eastAsia" w:ascii="宋体" w:hAnsi="宋体" w:cs="宋体"/>
                <w:bCs/>
                <w:color w:val="000000"/>
                <w:lang w:val="en-US"/>
              </w:rPr>
              <w:t>中国广东省，</w:t>
            </w:r>
            <w:r>
              <w:rPr>
                <w:rFonts w:hint="eastAsia" w:ascii="宋体" w:hAnsi="宋体" w:cs="宋体"/>
                <w:bCs/>
                <w:color w:val="000000"/>
                <w:lang w:val="en-US" w:eastAsia="zh-Hans"/>
              </w:rPr>
              <w:t>主要业务</w:t>
            </w:r>
            <w:r>
              <w:rPr>
                <w:rFonts w:hint="eastAsia" w:ascii="宋体" w:hAnsi="宋体" w:cs="宋体"/>
                <w:bCs/>
                <w:color w:val="000000"/>
                <w:lang w:val="en-US"/>
              </w:rPr>
              <w:t>为</w:t>
            </w:r>
            <w:r>
              <w:rPr>
                <w:rFonts w:hint="eastAsia" w:ascii="宋体" w:hAnsi="宋体" w:cs="宋体"/>
                <w:bCs/>
                <w:color w:val="000000"/>
                <w:lang w:val="en-US" w:eastAsia="zh-Hans"/>
              </w:rPr>
              <w:t>投资、规划、建设、经营和管理调峰调频电厂。 </w:t>
            </w:r>
          </w:p>
          <w:p>
            <w:pPr>
              <w:widowControl w:val="0"/>
              <w:adjustRightInd w:val="0"/>
              <w:snapToGrid w:val="0"/>
              <w:spacing w:after="0"/>
              <w:rPr>
                <w:rFonts w:ascii="宋体" w:hAnsi="宋体" w:cs="宋体"/>
                <w:bCs/>
                <w:color w:val="000000"/>
                <w:lang w:val="en-US" w:eastAsia="zh-Hans"/>
              </w:rPr>
            </w:pPr>
            <w:r>
              <w:rPr>
                <w:rFonts w:hint="eastAsia" w:ascii="宋体" w:hAnsi="宋体" w:cs="宋体"/>
                <w:bCs/>
                <w:color w:val="000000"/>
                <w:lang w:val="en-US" w:eastAsia="zh-Hans"/>
              </w:rPr>
              <w:t>南网调峰调频最终控制人</w:t>
            </w:r>
            <w:r>
              <w:rPr>
                <w:rFonts w:hint="eastAsia" w:ascii="宋体" w:hAnsi="宋体" w:cs="宋体"/>
                <w:bCs/>
                <w:color w:val="000000"/>
                <w:lang w:val="en-US"/>
              </w:rPr>
              <w:t>为中国</w:t>
            </w:r>
            <w:r>
              <w:rPr>
                <w:rFonts w:hint="eastAsia" w:ascii="宋体" w:hAnsi="宋体" w:cs="宋体"/>
                <w:bCs/>
                <w:color w:val="000000"/>
                <w:lang w:val="en-US" w:eastAsia="zh-Hans"/>
              </w:rPr>
              <w:t>南方电网</w:t>
            </w:r>
            <w:r>
              <w:rPr>
                <w:rFonts w:hint="eastAsia" w:ascii="宋体" w:hAnsi="宋体" w:cs="宋体"/>
                <w:bCs/>
                <w:color w:val="000000"/>
                <w:lang w:val="en-US"/>
              </w:rPr>
              <w:t>有限责任</w:t>
            </w:r>
            <w:r>
              <w:rPr>
                <w:rFonts w:hint="eastAsia" w:ascii="宋体" w:hAnsi="宋体" w:cs="宋体"/>
                <w:bCs/>
                <w:color w:val="000000"/>
                <w:lang w:val="en-US" w:eastAsia="zh-Hans"/>
              </w:rPr>
              <w:t>公司，主要从事</w:t>
            </w:r>
            <w:r>
              <w:rPr>
                <w:rFonts w:hint="eastAsia" w:ascii="宋体" w:hAnsi="宋体" w:cs="宋体"/>
                <w:bCs/>
                <w:color w:val="000000"/>
                <w:lang w:val="en-US"/>
              </w:rPr>
              <w:t>南方</w:t>
            </w:r>
            <w:r>
              <w:rPr>
                <w:rFonts w:hint="eastAsia" w:ascii="宋体" w:hAnsi="宋体" w:cs="宋体"/>
                <w:bCs/>
                <w:color w:val="000000"/>
                <w:lang w:val="en-US" w:eastAsia="zh-Hans"/>
              </w:rPr>
              <w:t>五省</w:t>
            </w:r>
            <w:r>
              <w:rPr>
                <w:rFonts w:hint="eastAsia" w:ascii="宋体" w:hAnsi="宋体" w:cs="宋体"/>
                <w:bCs/>
                <w:color w:val="000000"/>
                <w:lang w:val="en-US"/>
              </w:rPr>
              <w:t>区</w:t>
            </w:r>
            <w:r>
              <w:rPr>
                <w:rFonts w:hint="eastAsia" w:ascii="宋体" w:hAnsi="宋体" w:cs="宋体"/>
                <w:bCs/>
                <w:color w:val="000000"/>
                <w:lang w:val="en-US" w:eastAsia="zh-Hans"/>
              </w:rPr>
              <w:t xml:space="preserve">电力供应、区域电网管理、电力交易与调度业务。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883" w:type="dxa"/>
            <w:vMerge w:val="continue"/>
            <w:shd w:val="clear" w:color="auto" w:fill="D9D9D9"/>
            <w:noWrap w:val="0"/>
            <w:vAlign w:val="center"/>
          </w:tcPr>
          <w:p>
            <w:pPr>
              <w:pStyle w:val="3"/>
              <w:adjustRightInd w:val="0"/>
              <w:snapToGrid w:val="0"/>
              <w:spacing w:after="0"/>
              <w:rPr>
                <w:rFonts w:ascii="宋体" w:hAnsi="宋体" w:cs="宋体"/>
                <w:bCs/>
                <w:color w:val="000000"/>
                <w:lang w:val="en-US" w:eastAsia="zh-CN"/>
              </w:rPr>
            </w:pPr>
          </w:p>
        </w:tc>
        <w:tc>
          <w:tcPr>
            <w:tcW w:w="1311" w:type="dxa"/>
            <w:noWrap w:val="0"/>
            <w:vAlign w:val="center"/>
          </w:tcPr>
          <w:p>
            <w:pPr>
              <w:widowControl w:val="0"/>
              <w:adjustRightInd w:val="0"/>
              <w:snapToGrid w:val="0"/>
              <w:spacing w:after="0"/>
              <w:jc w:val="center"/>
              <w:rPr>
                <w:rFonts w:ascii="宋体" w:hAnsi="宋体" w:cs="宋体"/>
                <w:bCs/>
                <w:color w:val="000000"/>
              </w:rPr>
            </w:pPr>
            <w:r>
              <w:rPr>
                <w:rFonts w:hint="eastAsia" w:ascii="宋体" w:hAnsi="宋体" w:cs="宋体"/>
                <w:bCs/>
                <w:color w:val="000000"/>
                <w:lang w:val="en-US" w:eastAsia="zh-Hans"/>
              </w:rPr>
              <w:t>2、</w:t>
            </w:r>
            <w:r>
              <w:rPr>
                <w:rFonts w:hint="eastAsia" w:ascii="宋体" w:hAnsi="宋体" w:cs="宋体"/>
                <w:bCs/>
                <w:color w:val="000000"/>
                <w:lang w:val="en-US"/>
              </w:rPr>
              <w:t>粤水电</w:t>
            </w:r>
          </w:p>
        </w:tc>
        <w:tc>
          <w:tcPr>
            <w:tcW w:w="6446" w:type="dxa"/>
            <w:noWrap w:val="0"/>
            <w:vAlign w:val="center"/>
          </w:tcPr>
          <w:p>
            <w:pPr>
              <w:widowControl w:val="0"/>
              <w:adjustRightInd w:val="0"/>
              <w:snapToGrid w:val="0"/>
              <w:spacing w:after="0"/>
              <w:rPr>
                <w:rFonts w:ascii="宋体" w:hAnsi="宋体" w:cs="宋体"/>
                <w:bCs/>
                <w:color w:val="000000"/>
                <w:lang w:val="en-US" w:eastAsia="zh-Hans"/>
              </w:rPr>
            </w:pPr>
            <w:r>
              <w:rPr>
                <w:rFonts w:hint="eastAsia" w:ascii="宋体" w:hAnsi="宋体" w:cs="宋体"/>
                <w:bCs/>
                <w:color w:val="000000"/>
                <w:lang w:val="en-US" w:eastAsia="zh-Hans"/>
              </w:rPr>
              <w:t xml:space="preserve">粤水电于2001年12月27日成立于中国广东省，为深圳证券交易所上市公司，主要业务为工程建设业务以及清洁能源发电业务。 </w:t>
            </w:r>
          </w:p>
          <w:p>
            <w:pPr>
              <w:widowControl w:val="0"/>
              <w:adjustRightInd w:val="0"/>
              <w:snapToGrid w:val="0"/>
              <w:spacing w:after="0"/>
              <w:rPr>
                <w:rFonts w:ascii="宋体" w:hAnsi="宋体" w:cs="宋体"/>
                <w:bCs/>
                <w:color w:val="000000"/>
                <w:lang w:val="en-US" w:eastAsia="zh-Hans"/>
              </w:rPr>
            </w:pPr>
            <w:r>
              <w:rPr>
                <w:rFonts w:hint="eastAsia" w:ascii="宋体" w:hAnsi="宋体" w:cs="宋体"/>
                <w:bCs/>
                <w:color w:val="000000"/>
                <w:lang w:val="en-US" w:eastAsia="zh-Hans"/>
              </w:rPr>
              <w:t>粤水电无最终控制人。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883" w:type="dxa"/>
            <w:vMerge w:val="continue"/>
            <w:shd w:val="clear" w:color="auto" w:fill="D9D9D9"/>
            <w:noWrap w:val="0"/>
            <w:vAlign w:val="center"/>
          </w:tcPr>
          <w:p>
            <w:pPr>
              <w:pStyle w:val="3"/>
              <w:adjustRightInd w:val="0"/>
              <w:snapToGrid w:val="0"/>
              <w:spacing w:after="0"/>
              <w:rPr>
                <w:rFonts w:ascii="宋体" w:hAnsi="宋体" w:cs="宋体"/>
                <w:bCs/>
                <w:color w:val="000000"/>
                <w:lang w:val="en-US" w:eastAsia="zh-CN"/>
              </w:rPr>
            </w:pPr>
          </w:p>
        </w:tc>
        <w:tc>
          <w:tcPr>
            <w:tcW w:w="1311" w:type="dxa"/>
            <w:noWrap w:val="0"/>
            <w:vAlign w:val="center"/>
          </w:tcPr>
          <w:p>
            <w:pPr>
              <w:widowControl w:val="0"/>
              <w:adjustRightInd w:val="0"/>
              <w:snapToGrid w:val="0"/>
              <w:spacing w:after="0"/>
              <w:jc w:val="center"/>
              <w:rPr>
                <w:rFonts w:ascii="宋体" w:hAnsi="宋体" w:cs="宋体"/>
                <w:bCs/>
                <w:color w:val="000000"/>
              </w:rPr>
            </w:pPr>
            <w:r>
              <w:rPr>
                <w:rFonts w:hint="eastAsia" w:ascii="宋体" w:hAnsi="宋体" w:cs="宋体"/>
                <w:bCs/>
                <w:color w:val="000000"/>
                <w:lang w:val="en-US"/>
              </w:rPr>
              <w:t>3、广东院</w:t>
            </w:r>
          </w:p>
        </w:tc>
        <w:tc>
          <w:tcPr>
            <w:tcW w:w="6446" w:type="dxa"/>
            <w:noWrap w:val="0"/>
            <w:vAlign w:val="center"/>
          </w:tcPr>
          <w:p>
            <w:pPr>
              <w:widowControl w:val="0"/>
              <w:adjustRightInd w:val="0"/>
              <w:snapToGrid w:val="0"/>
              <w:spacing w:after="0"/>
              <w:rPr>
                <w:rFonts w:ascii="宋体" w:hAnsi="宋体" w:cs="宋体"/>
                <w:bCs/>
                <w:color w:val="000000"/>
                <w:lang w:val="en-US"/>
              </w:rPr>
            </w:pPr>
            <w:r>
              <w:rPr>
                <w:rFonts w:hint="eastAsia" w:ascii="宋体" w:hAnsi="宋体" w:cs="宋体"/>
                <w:bCs/>
                <w:color w:val="000000"/>
                <w:lang w:val="en-US"/>
              </w:rPr>
              <w:t>广东院于2001年11月8日成立于中国广东省，</w:t>
            </w:r>
            <w:r>
              <w:rPr>
                <w:rFonts w:hint="eastAsia" w:ascii="宋体" w:hAnsi="宋体" w:cs="宋体"/>
                <w:bCs/>
                <w:color w:val="000000"/>
                <w:lang w:val="en-US" w:eastAsia="zh-Hans"/>
              </w:rPr>
              <w:t>主要业务为工程勘察、设计、规划咨询、总承包。</w:t>
            </w:r>
          </w:p>
          <w:p>
            <w:pPr>
              <w:widowControl w:val="0"/>
              <w:adjustRightInd w:val="0"/>
              <w:snapToGrid w:val="0"/>
              <w:spacing w:after="0"/>
              <w:rPr>
                <w:rFonts w:ascii="宋体" w:hAnsi="宋体" w:cs="宋体"/>
                <w:bCs/>
                <w:color w:val="000000"/>
                <w:lang w:val="en-US"/>
              </w:rPr>
            </w:pPr>
            <w:r>
              <w:rPr>
                <w:rFonts w:hint="eastAsia" w:ascii="宋体" w:hAnsi="宋体" w:cs="宋体"/>
                <w:bCs/>
                <w:color w:val="000000"/>
                <w:lang w:val="en-US"/>
              </w:rPr>
              <w:t>广东院最终控制人为</w:t>
            </w:r>
            <w:r>
              <w:rPr>
                <w:rFonts w:hint="eastAsia" w:ascii="宋体" w:hAnsi="宋体" w:cs="宋体"/>
                <w:bCs/>
                <w:color w:val="000000"/>
                <w:lang w:val="en-US" w:eastAsia="zh-Hans"/>
              </w:rPr>
              <w:t>中国能源建设股份有限公司</w:t>
            </w:r>
            <w:r>
              <w:rPr>
                <w:rFonts w:hint="eastAsia" w:ascii="宋体" w:hAnsi="宋体" w:cs="宋体"/>
                <w:bCs/>
                <w:color w:val="000000"/>
                <w:lang w:val="en-US"/>
              </w:rPr>
              <w:t>，</w:t>
            </w:r>
            <w:r>
              <w:rPr>
                <w:rFonts w:hint="eastAsia" w:ascii="宋体" w:hAnsi="宋体" w:cs="宋体"/>
                <w:bCs/>
                <w:color w:val="000000"/>
                <w:lang w:val="en-US" w:eastAsia="zh-Hans"/>
              </w:rPr>
              <w:t>主要从事电力工程总承包业务。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883" w:type="dxa"/>
            <w:vMerge w:val="restart"/>
            <w:shd w:val="clear" w:color="auto" w:fill="D9D9D9"/>
            <w:noWrap w:val="0"/>
            <w:vAlign w:val="center"/>
          </w:tcPr>
          <w:p>
            <w:pPr>
              <w:pStyle w:val="3"/>
              <w:adjustRightInd w:val="0"/>
              <w:snapToGrid w:val="0"/>
              <w:spacing w:after="0"/>
              <w:jc w:val="center"/>
              <w:rPr>
                <w:rFonts w:ascii="宋体" w:hAnsi="宋体" w:cs="宋体"/>
                <w:bCs/>
                <w:color w:val="000000"/>
                <w:lang w:val="en-US" w:eastAsia="zh-CN"/>
              </w:rPr>
            </w:pPr>
            <w:r>
              <w:rPr>
                <w:rFonts w:hint="eastAsia" w:ascii="宋体" w:hAnsi="宋体" w:cs="宋体"/>
                <w:bCs/>
                <w:color w:val="000000"/>
                <w:lang w:eastAsia="zh-CN"/>
              </w:rPr>
              <w:t>简易案件理由</w:t>
            </w:r>
          </w:p>
        </w:tc>
        <w:tc>
          <w:tcPr>
            <w:tcW w:w="7757" w:type="dxa"/>
            <w:gridSpan w:val="2"/>
            <w:noWrap w:val="0"/>
            <w:vAlign w:val="center"/>
          </w:tcPr>
          <w:p>
            <w:pPr>
              <w:pStyle w:val="3"/>
              <w:adjustRightInd w:val="0"/>
              <w:snapToGrid w:val="0"/>
              <w:spacing w:after="0"/>
              <w:rPr>
                <w:rFonts w:ascii="宋体" w:hAnsi="宋体" w:cs="宋体"/>
                <w:bCs/>
                <w:color w:val="000000"/>
                <w:lang w:val="en-US" w:eastAsia="zh-CN"/>
              </w:rPr>
            </w:pPr>
            <w:r>
              <w:rPr>
                <w:rFonts w:hint="eastAsia" w:ascii="宋体" w:hAnsi="宋体" w:cs="宋体"/>
                <w:bCs/>
                <w:color w:val="000000"/>
                <w:lang w:eastAsia="zh-CN"/>
              </w:rPr>
              <w:sym w:font="Wingdings" w:char="00FE"/>
            </w:r>
            <w:r>
              <w:rPr>
                <w:rFonts w:hint="eastAsia" w:ascii="宋体" w:hAnsi="宋体" w:cs="宋体"/>
                <w:bCs/>
                <w:color w:val="000000"/>
                <w:lang w:eastAsia="zh-CN"/>
              </w:rPr>
              <w:t xml:space="preserve"> 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883" w:type="dxa"/>
            <w:vMerge w:val="continue"/>
            <w:shd w:val="clear" w:color="auto" w:fill="D9D9D9"/>
            <w:noWrap w:val="0"/>
            <w:vAlign w:val="center"/>
          </w:tcPr>
          <w:p>
            <w:pPr>
              <w:pStyle w:val="3"/>
              <w:adjustRightInd w:val="0"/>
              <w:snapToGrid w:val="0"/>
              <w:spacing w:after="0"/>
              <w:jc w:val="center"/>
              <w:rPr>
                <w:rFonts w:ascii="宋体" w:hAnsi="宋体" w:cs="宋体"/>
                <w:bCs/>
                <w:color w:val="000000"/>
                <w:lang w:val="en-US" w:eastAsia="zh-CN"/>
              </w:rPr>
            </w:pPr>
          </w:p>
        </w:tc>
        <w:tc>
          <w:tcPr>
            <w:tcW w:w="7757" w:type="dxa"/>
            <w:gridSpan w:val="2"/>
            <w:noWrap w:val="0"/>
            <w:vAlign w:val="center"/>
          </w:tcPr>
          <w:p>
            <w:pPr>
              <w:pStyle w:val="3"/>
              <w:adjustRightInd w:val="0"/>
              <w:snapToGrid w:val="0"/>
              <w:spacing w:after="0"/>
              <w:rPr>
                <w:rFonts w:ascii="宋体" w:hAnsi="宋体" w:cs="宋体"/>
                <w:bCs/>
                <w:color w:val="000000"/>
                <w:lang w:val="en-US" w:eastAsia="zh-CN"/>
              </w:rPr>
            </w:pPr>
            <w:r>
              <w:rPr>
                <w:rFonts w:hint="eastAsia" w:ascii="宋体" w:hAnsi="宋体" w:cs="宋体"/>
                <w:bCs/>
                <w:color w:val="000000"/>
                <w:lang w:eastAsia="zh-CN"/>
              </w:rPr>
              <w:sym w:font="Wingdings" w:char="00FE"/>
            </w:r>
            <w:r>
              <w:rPr>
                <w:rFonts w:hint="eastAsia" w:ascii="宋体" w:hAnsi="宋体" w:cs="宋体"/>
                <w:bCs/>
                <w:color w:val="000000"/>
                <w:lang w:eastAsia="zh-CN"/>
              </w:rPr>
              <w:t xml:space="preserve"> 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83" w:type="dxa"/>
            <w:vMerge w:val="continue"/>
            <w:shd w:val="clear" w:color="auto" w:fill="D9D9D9"/>
            <w:noWrap w:val="0"/>
            <w:vAlign w:val="center"/>
          </w:tcPr>
          <w:p>
            <w:pPr>
              <w:pStyle w:val="3"/>
              <w:adjustRightInd w:val="0"/>
              <w:snapToGrid w:val="0"/>
              <w:spacing w:after="0"/>
              <w:jc w:val="center"/>
              <w:rPr>
                <w:rFonts w:ascii="宋体" w:hAnsi="宋体" w:cs="宋体"/>
                <w:bCs/>
                <w:color w:val="000000"/>
                <w:lang w:val="en-US" w:eastAsia="zh-CN"/>
              </w:rPr>
            </w:pPr>
          </w:p>
        </w:tc>
        <w:tc>
          <w:tcPr>
            <w:tcW w:w="7757" w:type="dxa"/>
            <w:gridSpan w:val="2"/>
            <w:noWrap w:val="0"/>
            <w:vAlign w:val="center"/>
          </w:tcPr>
          <w:p>
            <w:pPr>
              <w:pStyle w:val="3"/>
              <w:adjustRightInd w:val="0"/>
              <w:snapToGrid w:val="0"/>
              <w:spacing w:after="0"/>
              <w:rPr>
                <w:rFonts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883" w:type="dxa"/>
            <w:vMerge w:val="continue"/>
            <w:shd w:val="clear" w:color="auto" w:fill="D9D9D9"/>
            <w:noWrap w:val="0"/>
            <w:vAlign w:val="center"/>
          </w:tcPr>
          <w:p>
            <w:pPr>
              <w:pStyle w:val="3"/>
              <w:adjustRightInd w:val="0"/>
              <w:snapToGrid w:val="0"/>
              <w:spacing w:after="0"/>
              <w:jc w:val="center"/>
              <w:rPr>
                <w:rFonts w:ascii="宋体" w:hAnsi="宋体" w:cs="宋体"/>
                <w:bCs/>
                <w:color w:val="000000"/>
                <w:lang w:val="en-US" w:eastAsia="zh-CN"/>
              </w:rPr>
            </w:pPr>
          </w:p>
        </w:tc>
        <w:tc>
          <w:tcPr>
            <w:tcW w:w="7757" w:type="dxa"/>
            <w:gridSpan w:val="2"/>
            <w:noWrap w:val="0"/>
            <w:vAlign w:val="center"/>
          </w:tcPr>
          <w:p>
            <w:pPr>
              <w:pStyle w:val="3"/>
              <w:adjustRightInd w:val="0"/>
              <w:snapToGrid w:val="0"/>
              <w:spacing w:after="0"/>
              <w:rPr>
                <w:rFonts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883" w:type="dxa"/>
            <w:vMerge w:val="continue"/>
            <w:shd w:val="clear" w:color="auto" w:fill="D9D9D9"/>
            <w:noWrap w:val="0"/>
            <w:vAlign w:val="center"/>
          </w:tcPr>
          <w:p>
            <w:pPr>
              <w:pStyle w:val="3"/>
              <w:adjustRightInd w:val="0"/>
              <w:snapToGrid w:val="0"/>
              <w:spacing w:after="0"/>
              <w:jc w:val="center"/>
              <w:rPr>
                <w:rFonts w:ascii="宋体" w:hAnsi="宋体" w:cs="宋体"/>
                <w:bCs/>
                <w:color w:val="000000"/>
                <w:lang w:val="en-US" w:eastAsia="zh-CN"/>
              </w:rPr>
            </w:pPr>
          </w:p>
        </w:tc>
        <w:tc>
          <w:tcPr>
            <w:tcW w:w="7757" w:type="dxa"/>
            <w:gridSpan w:val="2"/>
            <w:noWrap w:val="0"/>
            <w:vAlign w:val="center"/>
          </w:tcPr>
          <w:p>
            <w:pPr>
              <w:pStyle w:val="3"/>
              <w:adjustRightInd w:val="0"/>
              <w:snapToGrid w:val="0"/>
              <w:spacing w:after="0"/>
              <w:rPr>
                <w:rFonts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883" w:type="dxa"/>
            <w:vMerge w:val="continue"/>
            <w:shd w:val="clear" w:color="auto" w:fill="D9D9D9"/>
            <w:noWrap w:val="0"/>
            <w:vAlign w:val="center"/>
          </w:tcPr>
          <w:p>
            <w:pPr>
              <w:pStyle w:val="3"/>
              <w:adjustRightInd w:val="0"/>
              <w:snapToGrid w:val="0"/>
              <w:spacing w:after="0"/>
              <w:jc w:val="center"/>
              <w:rPr>
                <w:rFonts w:ascii="宋体" w:hAnsi="宋体" w:cs="宋体"/>
                <w:bCs/>
                <w:color w:val="000000"/>
                <w:lang w:val="en-US" w:eastAsia="zh-CN"/>
              </w:rPr>
            </w:pPr>
          </w:p>
        </w:tc>
        <w:tc>
          <w:tcPr>
            <w:tcW w:w="7757" w:type="dxa"/>
            <w:gridSpan w:val="2"/>
            <w:noWrap w:val="0"/>
            <w:vAlign w:val="center"/>
          </w:tcPr>
          <w:p>
            <w:pPr>
              <w:pStyle w:val="3"/>
              <w:adjustRightInd w:val="0"/>
              <w:snapToGrid w:val="0"/>
              <w:spacing w:after="0"/>
              <w:rPr>
                <w:rFonts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883" w:type="dxa"/>
            <w:shd w:val="clear" w:color="auto" w:fill="D9D9D9"/>
            <w:noWrap w:val="0"/>
            <w:vAlign w:val="center"/>
          </w:tcPr>
          <w:p>
            <w:pPr>
              <w:pStyle w:val="3"/>
              <w:adjustRightInd w:val="0"/>
              <w:snapToGrid w:val="0"/>
              <w:spacing w:after="0"/>
              <w:jc w:val="center"/>
              <w:rPr>
                <w:rFonts w:ascii="宋体" w:hAnsi="宋体" w:cs="宋体"/>
                <w:bCs/>
                <w:color w:val="000000"/>
                <w:lang w:val="en-US" w:eastAsia="zh-CN"/>
              </w:rPr>
            </w:pPr>
            <w:r>
              <w:rPr>
                <w:rFonts w:hint="eastAsia" w:ascii="宋体" w:hAnsi="宋体" w:cs="宋体"/>
                <w:bCs/>
                <w:color w:val="000000"/>
                <w:lang w:val="en-US" w:eastAsia="zh-CN"/>
              </w:rPr>
              <w:t>备注</w:t>
            </w:r>
          </w:p>
        </w:tc>
        <w:tc>
          <w:tcPr>
            <w:tcW w:w="7757" w:type="dxa"/>
            <w:gridSpan w:val="2"/>
            <w:noWrap w:val="0"/>
            <w:vAlign w:val="center"/>
          </w:tcPr>
          <w:p>
            <w:pPr>
              <w:pStyle w:val="3"/>
              <w:adjustRightInd w:val="0"/>
              <w:snapToGrid w:val="0"/>
              <w:spacing w:after="0"/>
              <w:rPr>
                <w:rFonts w:hint="eastAsia" w:ascii="宋体" w:hAnsi="宋体" w:cs="宋体"/>
                <w:b/>
                <w:color w:val="000000"/>
                <w:lang w:eastAsia="zh-CN"/>
              </w:rPr>
            </w:pPr>
            <w:r>
              <w:rPr>
                <w:rFonts w:hint="eastAsia" w:ascii="宋体" w:hAnsi="宋体" w:cs="宋体"/>
                <w:b/>
                <w:color w:val="000000"/>
                <w:lang w:eastAsia="zh-CN"/>
              </w:rPr>
              <w:t>横向重叠：</w:t>
            </w:r>
          </w:p>
          <w:p>
            <w:pPr>
              <w:pStyle w:val="3"/>
              <w:adjustRightInd w:val="0"/>
              <w:snapToGrid w:val="0"/>
              <w:spacing w:after="0"/>
              <w:rPr>
                <w:rFonts w:hint="eastAsia" w:ascii="宋体" w:hAnsi="宋体" w:cs="宋体"/>
                <w:b/>
                <w:color w:val="000000"/>
                <w:lang w:val="en-US" w:eastAsia="zh-CN"/>
              </w:rPr>
            </w:pPr>
            <w:r>
              <w:rPr>
                <w:rFonts w:hint="eastAsia" w:ascii="宋体" w:hAnsi="宋体" w:cs="宋体"/>
                <w:bCs/>
                <w:color w:val="000000"/>
                <w:lang w:val="en-US" w:eastAsia="zh-CN"/>
              </w:rPr>
              <w:t>2021年中国境内水力发电市场</w:t>
            </w:r>
            <w:r>
              <w:rPr>
                <w:rFonts w:hint="eastAsia" w:ascii="宋体" w:hAnsi="宋体" w:cs="宋体"/>
                <w:b/>
                <w:color w:val="000000"/>
                <w:lang w:val="en-US" w:eastAsia="zh-CN"/>
              </w:rPr>
              <w:t>：</w:t>
            </w:r>
          </w:p>
          <w:p>
            <w:pPr>
              <w:pStyle w:val="3"/>
              <w:adjustRightInd w:val="0"/>
              <w:snapToGrid w:val="0"/>
              <w:spacing w:after="0"/>
              <w:rPr>
                <w:rFonts w:hint="default" w:ascii="宋体" w:hAnsi="宋体" w:cs="宋体"/>
                <w:b/>
                <w:color w:val="000000"/>
                <w:lang w:val="en-US" w:eastAsia="zh-CN"/>
              </w:rPr>
            </w:pPr>
            <w:r>
              <w:rPr>
                <w:rFonts w:hint="eastAsia" w:ascii="宋体" w:hAnsi="宋体" w:cs="宋体"/>
                <w:bCs/>
                <w:color w:val="000000"/>
                <w:lang w:val="en-US" w:eastAsia="zh-CN"/>
              </w:rPr>
              <w:t>南网调峰调频：0-5%，粤水电：0-5%，</w:t>
            </w:r>
            <w:r>
              <w:rPr>
                <w:rFonts w:hint="eastAsia" w:ascii="宋体" w:hAnsi="宋体" w:cs="宋体"/>
                <w:bCs/>
                <w:color w:val="000000"/>
                <w:lang w:val="en-US"/>
              </w:rPr>
              <w:t>各方合计：0-5%</w:t>
            </w:r>
          </w:p>
          <w:p>
            <w:pPr>
              <w:pStyle w:val="3"/>
              <w:adjustRightInd w:val="0"/>
              <w:snapToGrid w:val="0"/>
              <w:spacing w:after="0"/>
              <w:rPr>
                <w:rFonts w:ascii="宋体" w:hAnsi="宋体" w:cs="宋体"/>
                <w:b/>
                <w:color w:val="000000"/>
                <w:lang w:eastAsia="zh-CN"/>
              </w:rPr>
            </w:pPr>
            <w:r>
              <w:rPr>
                <w:rFonts w:hint="eastAsia" w:ascii="宋体" w:hAnsi="宋体" w:cs="宋体"/>
                <w:b/>
                <w:color w:val="000000"/>
                <w:lang w:eastAsia="zh-CN"/>
              </w:rPr>
              <w:t>纵向关联：</w:t>
            </w:r>
          </w:p>
          <w:p>
            <w:pPr>
              <w:pStyle w:val="3"/>
              <w:adjustRightInd w:val="0"/>
              <w:snapToGrid w:val="0"/>
              <w:spacing w:after="0"/>
              <w:rPr>
                <w:rFonts w:ascii="宋体" w:hAnsi="宋体" w:cs="宋体"/>
                <w:bCs/>
                <w:color w:val="000000"/>
                <w:lang w:val="en-US" w:eastAsia="zh-CN"/>
              </w:rPr>
            </w:pPr>
            <w:r>
              <w:rPr>
                <w:rFonts w:hint="eastAsia" w:ascii="宋体" w:hAnsi="宋体" w:cs="宋体"/>
                <w:bCs/>
                <w:color w:val="000000"/>
                <w:lang w:val="en-US" w:eastAsia="zh-CN"/>
              </w:rPr>
              <w:t>上游：2021年</w:t>
            </w:r>
            <w:r>
              <w:rPr>
                <w:rFonts w:hint="eastAsia" w:ascii="宋体" w:hAnsi="宋体" w:cs="宋体"/>
                <w:bCs/>
                <w:color w:val="000000"/>
                <w:lang w:eastAsia="zh-CN"/>
              </w:rPr>
              <w:t>中国境内</w:t>
            </w:r>
            <w:r>
              <w:rPr>
                <w:lang w:eastAsia="zh-CN"/>
              </w:rPr>
              <w:t>水电站运维服务</w:t>
            </w:r>
            <w:r>
              <w:rPr>
                <w:rFonts w:hint="eastAsia" w:ascii="宋体" w:hAnsi="宋体" w:cs="宋体"/>
                <w:bCs/>
                <w:color w:val="000000"/>
                <w:lang w:val="en-US" w:eastAsia="zh-CN"/>
              </w:rPr>
              <w:t>市场：</w:t>
            </w:r>
          </w:p>
          <w:p>
            <w:pPr>
              <w:pStyle w:val="3"/>
              <w:adjustRightInd w:val="0"/>
              <w:snapToGrid w:val="0"/>
              <w:spacing w:after="0"/>
              <w:rPr>
                <w:rFonts w:ascii="宋体" w:hAnsi="宋体" w:cs="宋体"/>
                <w:bCs/>
                <w:color w:val="000000"/>
                <w:lang w:val="en-US" w:eastAsia="zh-CN"/>
              </w:rPr>
            </w:pPr>
            <w:r>
              <w:rPr>
                <w:rFonts w:hint="eastAsia" w:ascii="宋体" w:hAnsi="宋体" w:cs="宋体"/>
                <w:bCs/>
                <w:color w:val="000000"/>
                <w:lang w:val="en-US" w:eastAsia="zh-CN"/>
              </w:rPr>
              <w:t>粤水电：0-5%</w:t>
            </w:r>
          </w:p>
          <w:p>
            <w:pPr>
              <w:pStyle w:val="3"/>
              <w:adjustRightInd w:val="0"/>
              <w:snapToGrid w:val="0"/>
              <w:spacing w:after="0"/>
              <w:rPr>
                <w:rFonts w:ascii="宋体" w:hAnsi="宋体" w:cs="宋体"/>
                <w:bCs/>
                <w:color w:val="000000"/>
                <w:lang w:val="en-US" w:eastAsia="zh-CN"/>
              </w:rPr>
            </w:pPr>
            <w:r>
              <w:rPr>
                <w:rFonts w:hint="eastAsia" w:ascii="宋体" w:hAnsi="宋体" w:cs="宋体"/>
                <w:bCs/>
                <w:color w:val="000000"/>
                <w:lang w:val="en-US" w:eastAsia="zh-CN"/>
              </w:rPr>
              <w:t>合营企业预估：5-10%</w:t>
            </w:r>
          </w:p>
          <w:p>
            <w:pPr>
              <w:pStyle w:val="3"/>
              <w:adjustRightInd w:val="0"/>
              <w:snapToGrid w:val="0"/>
              <w:spacing w:after="0"/>
              <w:rPr>
                <w:rFonts w:hint="eastAsia" w:ascii="宋体" w:hAnsi="宋体" w:cs="宋体"/>
                <w:bCs/>
                <w:color w:val="000000"/>
                <w:lang w:eastAsia="zh-CN"/>
              </w:rPr>
            </w:pPr>
          </w:p>
          <w:p>
            <w:pPr>
              <w:pStyle w:val="3"/>
              <w:adjustRightInd w:val="0"/>
              <w:snapToGrid w:val="0"/>
              <w:spacing w:after="0"/>
              <w:rPr>
                <w:rFonts w:ascii="宋体" w:hAnsi="宋体" w:cs="宋体"/>
                <w:bCs/>
                <w:color w:val="000000"/>
                <w:lang w:val="en-US" w:eastAsia="zh-CN"/>
              </w:rPr>
            </w:pPr>
            <w:r>
              <w:rPr>
                <w:rFonts w:hint="eastAsia" w:ascii="宋体" w:hAnsi="宋体" w:cs="宋体"/>
                <w:bCs/>
                <w:color w:val="000000"/>
                <w:lang w:eastAsia="zh-CN"/>
              </w:rPr>
              <w:t>下游：</w:t>
            </w:r>
            <w:r>
              <w:rPr>
                <w:rFonts w:hint="eastAsia" w:ascii="宋体" w:hAnsi="宋体" w:cs="宋体"/>
                <w:bCs/>
                <w:color w:val="000000"/>
                <w:lang w:val="en-US" w:eastAsia="zh-CN"/>
              </w:rPr>
              <w:t>2021年</w:t>
            </w:r>
            <w:r>
              <w:rPr>
                <w:rFonts w:hint="eastAsia" w:ascii="宋体" w:hAnsi="宋体" w:cs="宋体"/>
                <w:bCs/>
                <w:color w:val="000000"/>
                <w:lang w:eastAsia="zh-CN"/>
              </w:rPr>
              <w:t>中国境内</w:t>
            </w:r>
            <w:r>
              <w:rPr>
                <w:lang w:eastAsia="zh-CN"/>
              </w:rPr>
              <w:t>水力</w:t>
            </w:r>
            <w:r>
              <w:rPr>
                <w:rFonts w:hint="eastAsia"/>
                <w:lang w:val="en-US" w:eastAsia="zh-CN"/>
              </w:rPr>
              <w:t>发电市场</w:t>
            </w:r>
            <w:r>
              <w:rPr>
                <w:rFonts w:hint="eastAsia" w:ascii="宋体" w:hAnsi="宋体" w:cs="宋体"/>
                <w:bCs/>
                <w:color w:val="000000"/>
                <w:lang w:val="en-US" w:eastAsia="zh-CN"/>
              </w:rPr>
              <w:t>：</w:t>
            </w:r>
          </w:p>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val="en-US" w:eastAsia="zh-CN"/>
              </w:rPr>
              <w:t>南网调峰调频：如上所述</w:t>
            </w:r>
          </w:p>
          <w:p>
            <w:pPr>
              <w:rPr>
                <w:rFonts w:hint="eastAsia" w:ascii="宋体" w:hAnsi="宋体" w:cs="宋体"/>
                <w:bCs/>
                <w:color w:val="000000"/>
                <w:lang w:val="en-US"/>
              </w:rPr>
            </w:pPr>
            <w:r>
              <w:rPr>
                <w:rFonts w:hint="eastAsia" w:ascii="宋体" w:hAnsi="宋体" w:cs="宋体"/>
                <w:bCs/>
                <w:color w:val="000000"/>
                <w:lang w:val="en-US" w:eastAsia="zh-CN"/>
              </w:rPr>
              <w:t>粤水电：如上所述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F83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99"/>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2023-01-01T11:05:05Z</dcterms:created>
  <dc:creator>ljjroo</dc:creator>
  <cp:lastModifiedBy>一咦已翌</cp:lastModifiedBy>
  <dcterms:modified xsi:type="dcterms:W3CDTF">2023-01-01T11:05:18Z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