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423E" w14:textId="2DAD1523" w:rsidR="00946093" w:rsidRPr="00B6597C" w:rsidRDefault="00946093" w:rsidP="00946093">
      <w:pPr>
        <w:jc w:val="center"/>
        <w:rPr>
          <w:rFonts w:eastAsia="黑体"/>
          <w:bCs/>
          <w:sz w:val="36"/>
          <w:szCs w:val="36"/>
        </w:rPr>
      </w:pPr>
      <w:r w:rsidRPr="00B6597C">
        <w:rPr>
          <w:rFonts w:eastAsia="黑体"/>
          <w:bCs/>
          <w:sz w:val="36"/>
          <w:szCs w:val="36"/>
        </w:rPr>
        <w:t>经营者集中简易案件公示表</w:t>
      </w: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07"/>
        <w:gridCol w:w="5555"/>
      </w:tblGrid>
      <w:tr w:rsidR="00946093" w:rsidRPr="00B6597C" w14:paraId="2D13702C" w14:textId="77777777" w:rsidTr="00185356">
        <w:trPr>
          <w:trHeight w:val="92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52EED" w14:textId="77777777" w:rsidR="00946093" w:rsidRPr="00B6597C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B83B" w14:textId="0B1FB645" w:rsidR="00946093" w:rsidRPr="00B6597C" w:rsidRDefault="00E07228"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B6597C">
              <w:t>KKR</w:t>
            </w:r>
            <w:r w:rsidRPr="00B6597C">
              <w:rPr>
                <w:rFonts w:hint="eastAsia"/>
              </w:rPr>
              <w:t>公司收购塞伦蒂卡可再生能源（新加坡）私人有限公司股权案</w:t>
            </w:r>
          </w:p>
        </w:tc>
      </w:tr>
      <w:tr w:rsidR="00946093" w:rsidRPr="00B6597C" w14:paraId="4703E527" w14:textId="77777777" w:rsidTr="00185356">
        <w:trPr>
          <w:trHeight w:val="139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31F6D" w14:textId="77777777" w:rsidR="00946093" w:rsidRPr="00B6597C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bCs/>
                <w:color w:val="000000"/>
              </w:rPr>
              <w:t>交易概况（限</w:t>
            </w:r>
            <w:r w:rsidRPr="00B6597C">
              <w:rPr>
                <w:rFonts w:cs="Times New Roman"/>
                <w:bCs/>
                <w:color w:val="000000"/>
              </w:rPr>
              <w:t>200</w:t>
            </w:r>
            <w:r w:rsidRPr="00B6597C">
              <w:rPr>
                <w:rFonts w:cs="Times New Roman"/>
                <w:bCs/>
                <w:color w:val="000000"/>
              </w:rPr>
              <w:t>字内）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B63B" w14:textId="6878BC99" w:rsidR="00946093" w:rsidRPr="00B6597C" w:rsidRDefault="00E07228" w:rsidP="00356958">
            <w:pPr>
              <w:widowControl w:val="0"/>
              <w:autoSpaceDE w:val="0"/>
              <w:adjustRightInd w:val="0"/>
              <w:snapToGrid w:val="0"/>
              <w:spacing w:after="0"/>
            </w:pPr>
            <w:r w:rsidRPr="00B6597C">
              <w:rPr>
                <w:rFonts w:hint="eastAsia"/>
              </w:rPr>
              <w:t>2</w:t>
            </w:r>
            <w:r w:rsidRPr="00B6597C">
              <w:t>022</w:t>
            </w:r>
            <w:r w:rsidRPr="00B6597C">
              <w:rPr>
                <w:rFonts w:hint="eastAsia"/>
              </w:rPr>
              <w:t>年</w:t>
            </w:r>
            <w:r w:rsidRPr="00B6597C">
              <w:rPr>
                <w:rFonts w:hint="eastAsia"/>
              </w:rPr>
              <w:t>1</w:t>
            </w:r>
            <w:r w:rsidRPr="00B6597C">
              <w:t>1</w:t>
            </w:r>
            <w:r w:rsidRPr="00B6597C">
              <w:rPr>
                <w:rFonts w:hint="eastAsia"/>
              </w:rPr>
              <w:t>月</w:t>
            </w:r>
            <w:r w:rsidRPr="00B6597C">
              <w:rPr>
                <w:rFonts w:hint="eastAsia"/>
              </w:rPr>
              <w:t>7</w:t>
            </w:r>
            <w:r w:rsidRPr="00B6597C">
              <w:rPr>
                <w:rFonts w:hint="eastAsia"/>
              </w:rPr>
              <w:t>日，</w:t>
            </w:r>
            <w:r w:rsidR="00D6519B">
              <w:rPr>
                <w:rFonts w:hint="eastAsia"/>
              </w:rPr>
              <w:t>K</w:t>
            </w:r>
            <w:r w:rsidR="00D6519B">
              <w:t>KR</w:t>
            </w:r>
            <w:r w:rsidR="00D6519B">
              <w:rPr>
                <w:rFonts w:hint="eastAsia"/>
              </w:rPr>
              <w:t>公司</w:t>
            </w:r>
            <w:r w:rsidRPr="00B6597C">
              <w:rPr>
                <w:rFonts w:hint="eastAsia"/>
              </w:rPr>
              <w:t>（</w:t>
            </w:r>
            <w:bookmarkStart w:id="0" w:name="_GoBack"/>
            <w:bookmarkEnd w:id="0"/>
            <w:r w:rsidR="00D85128" w:rsidRPr="00B6597C">
              <w:rPr>
                <w:rFonts w:hint="eastAsia"/>
              </w:rPr>
              <w:t>与其子公司合称“</w:t>
            </w:r>
            <w:r w:rsidR="00D85128" w:rsidRPr="00B6597C">
              <w:rPr>
                <w:rFonts w:hint="eastAsia"/>
              </w:rPr>
              <w:t>K</w:t>
            </w:r>
            <w:r w:rsidR="00D85128" w:rsidRPr="00B6597C">
              <w:t>KR</w:t>
            </w:r>
            <w:r w:rsidR="00D85128" w:rsidRPr="00B6597C">
              <w:rPr>
                <w:rFonts w:hint="eastAsia"/>
              </w:rPr>
              <w:t>”</w:t>
            </w:r>
            <w:r w:rsidR="00D85128">
              <w:rPr>
                <w:rFonts w:hint="eastAsia"/>
              </w:rPr>
              <w:t>）</w:t>
            </w:r>
            <w:r w:rsidR="00780AF7">
              <w:rPr>
                <w:rFonts w:hint="eastAsia"/>
              </w:rPr>
              <w:t>通过</w:t>
            </w:r>
            <w:r w:rsidR="00780AF7" w:rsidRPr="00D85128">
              <w:rPr>
                <w:rFonts w:hint="eastAsia"/>
              </w:rPr>
              <w:t>特殊目的公司</w:t>
            </w:r>
            <w:r w:rsidR="00780AF7" w:rsidRPr="00780AF7">
              <w:rPr>
                <w:rFonts w:hint="eastAsia"/>
              </w:rPr>
              <w:t>绿湖亚洲控股第二私人有限公司</w:t>
            </w:r>
            <w:r w:rsidRPr="00B6597C">
              <w:rPr>
                <w:rFonts w:hint="eastAsia"/>
              </w:rPr>
              <w:t>与塞伦蒂卡可再生能源私人有限公司（毛里求斯）（“塞伦蒂卡”）签署协议，购买塞伦蒂卡可再生能源（新加坡）私人有限公司（“目标公司”）</w:t>
            </w:r>
            <w:r w:rsidRPr="00B6597C">
              <w:rPr>
                <w:rFonts w:hint="eastAsia"/>
              </w:rPr>
              <w:t>6</w:t>
            </w:r>
            <w:r w:rsidRPr="00B6597C">
              <w:t>1%</w:t>
            </w:r>
            <w:r w:rsidRPr="00B6597C">
              <w:rPr>
                <w:rFonts w:hint="eastAsia"/>
              </w:rPr>
              <w:t>的股份。目标公司</w:t>
            </w:r>
            <w:r w:rsidR="00F429BC">
              <w:rPr>
                <w:rFonts w:hint="eastAsia"/>
              </w:rPr>
              <w:t>仅</w:t>
            </w:r>
            <w:r w:rsidRPr="00B6597C">
              <w:rPr>
                <w:rFonts w:hint="eastAsia"/>
              </w:rPr>
              <w:t>在印度的发电领域从事业务。交易之前，目标公司由塞伦蒂卡单独控制。交易后，目标公司将由</w:t>
            </w:r>
            <w:r w:rsidRPr="00B6597C">
              <w:rPr>
                <w:rFonts w:hint="eastAsia"/>
              </w:rPr>
              <w:t>KKR</w:t>
            </w:r>
            <w:r w:rsidR="00994D92">
              <w:rPr>
                <w:rFonts w:hint="eastAsia"/>
              </w:rPr>
              <w:t>（</w:t>
            </w:r>
            <w:r w:rsidR="00994D92">
              <w:rPr>
                <w:rFonts w:hint="eastAsia"/>
              </w:rPr>
              <w:t>6</w:t>
            </w:r>
            <w:r w:rsidR="00994D92">
              <w:t>1%</w:t>
            </w:r>
            <w:r w:rsidR="00994D92">
              <w:rPr>
                <w:rFonts w:hint="eastAsia"/>
              </w:rPr>
              <w:t>）</w:t>
            </w:r>
            <w:r w:rsidRPr="00B6597C">
              <w:rPr>
                <w:rFonts w:hint="eastAsia"/>
              </w:rPr>
              <w:t>和塞伦蒂卡</w:t>
            </w:r>
            <w:r w:rsidR="00994D92">
              <w:rPr>
                <w:rFonts w:hint="eastAsia"/>
              </w:rPr>
              <w:t>（</w:t>
            </w:r>
            <w:r w:rsidR="00994D92">
              <w:rPr>
                <w:rFonts w:hint="eastAsia"/>
              </w:rPr>
              <w:t>3</w:t>
            </w:r>
            <w:r w:rsidR="00994D92">
              <w:t>9%</w:t>
            </w:r>
            <w:r w:rsidR="00994D92">
              <w:rPr>
                <w:rFonts w:hint="eastAsia"/>
              </w:rPr>
              <w:t>）</w:t>
            </w:r>
            <w:r w:rsidRPr="00B6597C">
              <w:rPr>
                <w:rFonts w:hint="eastAsia"/>
              </w:rPr>
              <w:t>共同间接控制。</w:t>
            </w:r>
          </w:p>
        </w:tc>
      </w:tr>
      <w:tr w:rsidR="00946093" w:rsidRPr="00B6597C" w14:paraId="5CE0ECE2" w14:textId="77777777" w:rsidTr="00185356">
        <w:trPr>
          <w:trHeight w:val="942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ADC69" w14:textId="77777777" w:rsidR="00946093" w:rsidRPr="00B6597C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bCs/>
                <w:color w:val="000000"/>
              </w:rPr>
              <w:t>参与集中的经营者简介（每个限</w:t>
            </w:r>
            <w:r w:rsidRPr="00B6597C">
              <w:rPr>
                <w:rFonts w:cs="Times New Roman"/>
                <w:bCs/>
                <w:color w:val="000000"/>
              </w:rPr>
              <w:t>100</w:t>
            </w:r>
            <w:r w:rsidRPr="00B6597C">
              <w:rPr>
                <w:rFonts w:cs="Times New Roman"/>
                <w:bCs/>
                <w:color w:val="000000"/>
              </w:rPr>
              <w:t>字以内）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A0C8" w14:textId="281C36F7" w:rsidR="00946093" w:rsidRPr="00B6597C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bCs/>
                <w:color w:val="000000"/>
              </w:rPr>
              <w:t>1.</w:t>
            </w:r>
            <w:r w:rsidRPr="00B6597C">
              <w:rPr>
                <w:rFonts w:cs="Times New Roman"/>
                <w:color w:val="000000" w:themeColor="text1"/>
                <w:lang w:eastAsia="zh-Hans"/>
              </w:rPr>
              <w:t xml:space="preserve"> </w:t>
            </w:r>
            <w:r w:rsidR="00E07228" w:rsidRPr="00B6597C">
              <w:rPr>
                <w:rFonts w:cs="Times New Roman" w:hint="eastAsia"/>
                <w:color w:val="000000" w:themeColor="text1"/>
              </w:rPr>
              <w:t>KKR</w:t>
            </w:r>
            <w:r w:rsidR="00E07228" w:rsidRPr="00B6597C">
              <w:rPr>
                <w:rFonts w:cs="Times New Roman" w:hint="eastAsia"/>
                <w:color w:val="000000" w:themeColor="text1"/>
              </w:rPr>
              <w:t>公司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BB2A" w14:textId="780384EB" w:rsidR="002745E7" w:rsidRDefault="00D6519B" w:rsidP="002745E7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color w:val="000000" w:themeColor="text1"/>
              </w:rPr>
            </w:pPr>
            <w:r w:rsidRPr="00D6519B">
              <w:rPr>
                <w:rFonts w:hint="eastAsia"/>
                <w:color w:val="000000" w:themeColor="text1"/>
              </w:rPr>
              <w:t>KKR</w:t>
            </w:r>
            <w:r w:rsidR="00D85128">
              <w:rPr>
                <w:rFonts w:hint="eastAsia"/>
                <w:color w:val="000000" w:themeColor="text1"/>
              </w:rPr>
              <w:t>公司</w:t>
            </w:r>
            <w:r w:rsidRPr="00D6519B">
              <w:rPr>
                <w:rFonts w:hint="eastAsia"/>
                <w:color w:val="000000" w:themeColor="text1"/>
              </w:rPr>
              <w:t>于</w:t>
            </w:r>
            <w:r w:rsidRPr="00D6519B">
              <w:rPr>
                <w:rFonts w:hint="eastAsia"/>
                <w:color w:val="000000" w:themeColor="text1"/>
              </w:rPr>
              <w:t xml:space="preserve"> 2018</w:t>
            </w:r>
            <w:r w:rsidRPr="00D6519B">
              <w:rPr>
                <w:rFonts w:hint="eastAsia"/>
                <w:color w:val="000000" w:themeColor="text1"/>
              </w:rPr>
              <w:t>年</w:t>
            </w:r>
            <w:r w:rsidRPr="00D6519B">
              <w:rPr>
                <w:rFonts w:hint="eastAsia"/>
                <w:color w:val="000000" w:themeColor="text1"/>
              </w:rPr>
              <w:t>7</w:t>
            </w:r>
            <w:r w:rsidRPr="00D6519B">
              <w:rPr>
                <w:rFonts w:hint="eastAsia"/>
                <w:color w:val="000000" w:themeColor="text1"/>
              </w:rPr>
              <w:t>月</w:t>
            </w:r>
            <w:r w:rsidRPr="00D6519B">
              <w:rPr>
                <w:rFonts w:hint="eastAsia"/>
                <w:color w:val="000000" w:themeColor="text1"/>
              </w:rPr>
              <w:t>1</w:t>
            </w:r>
            <w:r w:rsidRPr="00D6519B">
              <w:rPr>
                <w:rFonts w:hint="eastAsia"/>
                <w:color w:val="000000" w:themeColor="text1"/>
              </w:rPr>
              <w:t>日成立于美国，为纽约证券交易所上市公司，主要从事投资业务。</w:t>
            </w:r>
          </w:p>
          <w:p w14:paraId="5DA34D7F" w14:textId="13D94D64" w:rsidR="00E07228" w:rsidRPr="00B6597C" w:rsidRDefault="00D6519B" w:rsidP="002745E7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D6519B">
              <w:rPr>
                <w:rFonts w:hint="eastAsia"/>
                <w:color w:val="000000" w:themeColor="text1"/>
              </w:rPr>
              <w:t>KKR</w:t>
            </w:r>
            <w:r w:rsidRPr="00D6519B">
              <w:rPr>
                <w:rFonts w:hint="eastAsia"/>
                <w:color w:val="000000" w:themeColor="text1"/>
              </w:rPr>
              <w:t>的最终控制人为</w:t>
            </w:r>
            <w:r w:rsidRPr="00D6519B">
              <w:rPr>
                <w:rFonts w:hint="eastAsia"/>
                <w:color w:val="000000" w:themeColor="text1"/>
              </w:rPr>
              <w:t>KKR</w:t>
            </w:r>
            <w:r w:rsidRPr="00D6519B">
              <w:rPr>
                <w:rFonts w:hint="eastAsia"/>
                <w:color w:val="000000" w:themeColor="text1"/>
              </w:rPr>
              <w:t>管理有限合伙，主要从事投资业务。</w:t>
            </w:r>
          </w:p>
        </w:tc>
      </w:tr>
      <w:tr w:rsidR="00946093" w:rsidRPr="00B6597C" w14:paraId="423B5977" w14:textId="77777777" w:rsidTr="00185356">
        <w:trPr>
          <w:trHeight w:val="984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B95" w14:textId="77777777" w:rsidR="00946093" w:rsidRPr="00B6597C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2F2" w14:textId="56D36E41" w:rsidR="00946093" w:rsidRPr="00B6597C" w:rsidRDefault="00946093" w:rsidP="00F429BC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bCs/>
                <w:color w:val="000000"/>
              </w:rPr>
              <w:t>2.</w:t>
            </w:r>
            <w:r w:rsidRPr="00B6597C">
              <w:rPr>
                <w:rFonts w:cs="Times New Roman"/>
                <w:color w:val="000000" w:themeColor="text1"/>
                <w:lang w:eastAsia="zh-Hans"/>
              </w:rPr>
              <w:t xml:space="preserve"> </w:t>
            </w:r>
            <w:r w:rsidR="000779D4" w:rsidRPr="00B6597C">
              <w:rPr>
                <w:rFonts w:cs="Times New Roman" w:hint="eastAsia"/>
                <w:color w:val="000000" w:themeColor="text1"/>
                <w:lang w:eastAsia="zh-Hans"/>
              </w:rPr>
              <w:t>塞伦蒂卡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83D4" w14:textId="77777777" w:rsidR="002745E7" w:rsidRDefault="000779D4" w:rsidP="003C54A5"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B6597C">
              <w:rPr>
                <w:rFonts w:hint="eastAsia"/>
              </w:rPr>
              <w:t>塞伦蒂卡于</w:t>
            </w:r>
            <w:r w:rsidRPr="00B6597C">
              <w:rPr>
                <w:rFonts w:hint="eastAsia"/>
              </w:rPr>
              <w:t>2</w:t>
            </w:r>
            <w:r w:rsidRPr="00B6597C">
              <w:t>022</w:t>
            </w:r>
            <w:r w:rsidRPr="00B6597C">
              <w:rPr>
                <w:rFonts w:hint="eastAsia"/>
              </w:rPr>
              <w:t>年</w:t>
            </w:r>
            <w:r w:rsidRPr="00B6597C">
              <w:rPr>
                <w:rFonts w:hint="eastAsia"/>
              </w:rPr>
              <w:t>2</w:t>
            </w:r>
            <w:r w:rsidRPr="00B6597C">
              <w:rPr>
                <w:rFonts w:hint="eastAsia"/>
              </w:rPr>
              <w:t>月</w:t>
            </w:r>
            <w:r w:rsidRPr="00B6597C">
              <w:rPr>
                <w:rFonts w:hint="eastAsia"/>
              </w:rPr>
              <w:t>2</w:t>
            </w:r>
            <w:r w:rsidRPr="00B6597C">
              <w:t>8</w:t>
            </w:r>
            <w:r w:rsidRPr="00B6597C">
              <w:rPr>
                <w:rFonts w:hint="eastAsia"/>
              </w:rPr>
              <w:t>日在毛里求斯设立，在印度从事建设、开发、拥有并运营可再生能源项目</w:t>
            </w:r>
            <w:r w:rsidR="004778F0" w:rsidRPr="00B6597C">
              <w:rPr>
                <w:bCs/>
                <w:color w:val="000000"/>
              </w:rPr>
              <w:t>。</w:t>
            </w:r>
          </w:p>
          <w:p w14:paraId="61BD9CF5" w14:textId="096AF8D4" w:rsidR="00946093" w:rsidRPr="002745E7" w:rsidRDefault="000779D4" w:rsidP="003C54A5">
            <w:pPr>
              <w:widowControl w:val="0"/>
              <w:autoSpaceDE w:val="0"/>
              <w:adjustRightInd w:val="0"/>
              <w:snapToGrid w:val="0"/>
              <w:spacing w:after="0"/>
            </w:pPr>
            <w:r w:rsidRPr="00B6597C">
              <w:rPr>
                <w:rFonts w:hint="eastAsia"/>
                <w:bCs/>
                <w:color w:val="000000"/>
              </w:rPr>
              <w:t>塞伦蒂卡的最终控制人是</w:t>
            </w:r>
            <w:r w:rsidRPr="00B6597C">
              <w:rPr>
                <w:rFonts w:hint="eastAsia"/>
              </w:rPr>
              <w:t>沃尔坎投资有限公司，从事投资控股业务。</w:t>
            </w:r>
          </w:p>
        </w:tc>
      </w:tr>
      <w:tr w:rsidR="00946093" w:rsidRPr="00B6597C" w14:paraId="1AC5D95A" w14:textId="77777777" w:rsidTr="00185356">
        <w:trPr>
          <w:trHeight w:val="279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40ABC" w14:textId="77777777" w:rsidR="00946093" w:rsidRPr="00B6597C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bCs/>
                <w:color w:val="000000"/>
              </w:rPr>
              <w:t>简易案件理由（可以单选，也可以多选）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CCB4" w14:textId="1823F616" w:rsidR="00946093" w:rsidRPr="00B6597C" w:rsidRDefault="000779D4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lang w:val="en-GB"/>
              </w:rPr>
              <w:sym w:font="Wingdings" w:char="F0A8"/>
            </w:r>
            <w:r w:rsidR="00946093" w:rsidRPr="00B6597C">
              <w:rPr>
                <w:rFonts w:cs="Times New Roman"/>
                <w:lang w:val="en-GB"/>
              </w:rPr>
              <w:t xml:space="preserve"> </w:t>
            </w:r>
            <w:r w:rsidR="00946093" w:rsidRPr="00B6597C">
              <w:rPr>
                <w:rFonts w:cs="Times New Roman"/>
                <w:bCs/>
                <w:color w:val="000000"/>
              </w:rPr>
              <w:t>1</w:t>
            </w:r>
            <w:r w:rsidR="00946093" w:rsidRPr="00B6597C">
              <w:rPr>
                <w:rFonts w:cs="Times New Roman"/>
                <w:bCs/>
                <w:color w:val="000000"/>
              </w:rPr>
              <w:t>、在同一相关市场，所有参与集中的经营者所占市场份额之和小于</w:t>
            </w:r>
            <w:r w:rsidR="00946093" w:rsidRPr="00B6597C">
              <w:rPr>
                <w:rFonts w:cs="Times New Roman"/>
                <w:bCs/>
                <w:color w:val="000000"/>
              </w:rPr>
              <w:t>15%</w:t>
            </w:r>
            <w:r w:rsidR="00946093" w:rsidRPr="00B6597C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B6597C" w14:paraId="2D86848C" w14:textId="77777777" w:rsidTr="00185356">
        <w:trPr>
          <w:trHeight w:val="33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21DF" w14:textId="77777777" w:rsidR="00946093" w:rsidRPr="00B6597C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2920" w14:textId="2DF56BCB" w:rsidR="00946093" w:rsidRPr="00B6597C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lang w:val="en-GB"/>
              </w:rPr>
              <w:sym w:font="Wingdings" w:char="F0A8"/>
            </w:r>
            <w:r w:rsidRPr="00B6597C">
              <w:rPr>
                <w:rFonts w:cs="Times New Roman"/>
                <w:lang w:val="en-GB"/>
              </w:rPr>
              <w:t xml:space="preserve"> </w:t>
            </w:r>
            <w:r w:rsidRPr="00B6597C">
              <w:rPr>
                <w:rFonts w:cs="Times New Roman"/>
                <w:bCs/>
                <w:color w:val="000000"/>
              </w:rPr>
              <w:t>2</w:t>
            </w:r>
            <w:r w:rsidRPr="00B6597C">
              <w:rPr>
                <w:rFonts w:cs="Times New Roman"/>
                <w:bCs/>
                <w:color w:val="000000"/>
              </w:rPr>
              <w:t>、存在上下游关系的参与集中的经营者，在上下游市场所占的市场份额均小于</w:t>
            </w:r>
            <w:r w:rsidRPr="00B6597C">
              <w:rPr>
                <w:rFonts w:cs="Times New Roman"/>
                <w:bCs/>
                <w:color w:val="000000"/>
              </w:rPr>
              <w:t>25%</w:t>
            </w:r>
            <w:r w:rsidRPr="00B6597C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B6597C" w14:paraId="058327E9" w14:textId="77777777" w:rsidTr="00185356">
        <w:trPr>
          <w:trHeight w:val="28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B31F" w14:textId="77777777" w:rsidR="00946093" w:rsidRPr="00B6597C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71F3" w14:textId="7AF1AB86" w:rsidR="00946093" w:rsidRPr="00B6597C" w:rsidRDefault="004138AE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lang w:val="en-GB"/>
              </w:rPr>
              <w:sym w:font="Wingdings" w:char="F0A8"/>
            </w:r>
            <w:r w:rsidR="00946093" w:rsidRPr="00B6597C">
              <w:rPr>
                <w:rFonts w:cs="Times New Roman"/>
                <w:bCs/>
                <w:color w:val="000000"/>
              </w:rPr>
              <w:t xml:space="preserve"> 3</w:t>
            </w:r>
            <w:r w:rsidR="00946093" w:rsidRPr="00B6597C">
              <w:rPr>
                <w:rFonts w:cs="Times New Roman"/>
                <w:bCs/>
                <w:color w:val="000000"/>
              </w:rPr>
              <w:t>、不在同一相关市场、也不存在上下游关系的参与集中的经营者，在与交易有关的每个市场所占的份额均小于</w:t>
            </w:r>
            <w:r w:rsidR="00946093" w:rsidRPr="00B6597C">
              <w:rPr>
                <w:rFonts w:cs="Times New Roman"/>
                <w:bCs/>
                <w:color w:val="000000"/>
              </w:rPr>
              <w:t>25%</w:t>
            </w:r>
            <w:r w:rsidR="00946093" w:rsidRPr="00B6597C">
              <w:rPr>
                <w:rFonts w:cs="Times New Roman"/>
                <w:bCs/>
                <w:color w:val="000000"/>
              </w:rPr>
              <w:t>。</w:t>
            </w:r>
          </w:p>
        </w:tc>
      </w:tr>
      <w:tr w:rsidR="00946093" w:rsidRPr="00B6597C" w14:paraId="3A550DFD" w14:textId="77777777" w:rsidTr="00185356">
        <w:trPr>
          <w:trHeight w:val="870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C4B4" w14:textId="77777777" w:rsidR="00946093" w:rsidRPr="00B6597C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FA8F" w14:textId="32995B45" w:rsidR="00946093" w:rsidRPr="00B6597C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lang w:val="en-GB"/>
              </w:rPr>
              <w:sym w:font="Wingdings" w:char="F0A8"/>
            </w:r>
            <w:r w:rsidRPr="00B6597C">
              <w:rPr>
                <w:rFonts w:cs="Times New Roman"/>
                <w:bCs/>
                <w:color w:val="000000"/>
              </w:rPr>
              <w:t xml:space="preserve"> 4</w:t>
            </w:r>
            <w:r w:rsidRPr="00B6597C">
              <w:rPr>
                <w:rFonts w:cs="Times New Roman"/>
                <w:bCs/>
                <w:color w:val="000000"/>
              </w:rPr>
              <w:t>、参与集中的经营者在中国境外设立合营企业，合营企业不在中国境内从事经济活动。</w:t>
            </w:r>
          </w:p>
        </w:tc>
      </w:tr>
      <w:tr w:rsidR="00946093" w:rsidRPr="00B6597C" w14:paraId="30E3FFBE" w14:textId="77777777" w:rsidTr="00185356">
        <w:trPr>
          <w:trHeight w:val="264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7062" w14:textId="77777777" w:rsidR="00946093" w:rsidRPr="00B6597C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58C3" w14:textId="36A47825" w:rsidR="00946093" w:rsidRPr="00B6597C" w:rsidRDefault="000779D4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lang w:val="en-GB"/>
              </w:rPr>
              <w:sym w:font="Wingdings" w:char="00FE"/>
            </w:r>
            <w:r w:rsidR="00946093" w:rsidRPr="00B6597C">
              <w:rPr>
                <w:rFonts w:cs="Times New Roman"/>
                <w:bCs/>
                <w:color w:val="000000"/>
              </w:rPr>
              <w:t xml:space="preserve"> 5</w:t>
            </w:r>
            <w:r w:rsidR="00946093" w:rsidRPr="00B6597C">
              <w:rPr>
                <w:rFonts w:cs="Times New Roman"/>
                <w:bCs/>
                <w:color w:val="000000"/>
              </w:rPr>
              <w:t>、参与集中的经营者收购境外企业股权或资产的，该境外企业不在中国境内从事经济活动。</w:t>
            </w:r>
          </w:p>
        </w:tc>
      </w:tr>
      <w:tr w:rsidR="00946093" w:rsidRPr="00B6597C" w14:paraId="06DDA366" w14:textId="77777777" w:rsidTr="00185356">
        <w:trPr>
          <w:trHeight w:val="34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D9C4" w14:textId="77777777" w:rsidR="00946093" w:rsidRPr="00B6597C" w:rsidRDefault="00946093"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0175" w14:textId="11564400" w:rsidR="00946093" w:rsidRPr="00B6597C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lang w:val="en-GB"/>
              </w:rPr>
              <w:sym w:font="Wingdings" w:char="F0A8"/>
            </w:r>
            <w:r w:rsidRPr="00B6597C">
              <w:rPr>
                <w:rFonts w:cs="Times New Roman"/>
                <w:bCs/>
                <w:color w:val="000000"/>
              </w:rPr>
              <w:t xml:space="preserve"> 6</w:t>
            </w:r>
            <w:r w:rsidRPr="00B6597C">
              <w:rPr>
                <w:rFonts w:cs="Times New Roman"/>
                <w:bCs/>
                <w:color w:val="000000"/>
              </w:rPr>
              <w:t>、由两个以上的经营者共同控制的合营企业，通过集中被其中一个或一个以上经营者控制。</w:t>
            </w:r>
          </w:p>
        </w:tc>
      </w:tr>
      <w:tr w:rsidR="00946093" w:rsidRPr="004F3639" w14:paraId="10A69EA5" w14:textId="77777777" w:rsidTr="00185356">
        <w:trPr>
          <w:trHeight w:val="12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234E0" w14:textId="77777777" w:rsidR="00946093" w:rsidRPr="004F3639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 w:rsidRPr="00B6597C">
              <w:rPr>
                <w:rFonts w:cs="Times New Roman"/>
                <w:bCs/>
                <w:color w:val="000000"/>
              </w:rPr>
              <w:t>备注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DC66" w14:textId="79329947" w:rsidR="004138AE" w:rsidRPr="00F429BC" w:rsidRDefault="00F429BC" w:rsidP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color w:val="000000"/>
              </w:rPr>
            </w:pPr>
            <w:r w:rsidRPr="00F429BC">
              <w:rPr>
                <w:rFonts w:cs="Times New Roman" w:hint="eastAsia"/>
                <w:color w:val="000000"/>
              </w:rPr>
              <w:t>不适用</w:t>
            </w:r>
          </w:p>
          <w:p w14:paraId="45881551" w14:textId="0A006E61" w:rsidR="00946093" w:rsidRPr="004F3639" w:rsidRDefault="00946093">
            <w:pPr>
              <w:pStyle w:val="a3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</w:p>
        </w:tc>
      </w:tr>
    </w:tbl>
    <w:p w14:paraId="290EA2E7" w14:textId="77777777" w:rsidR="00DF301E" w:rsidRPr="009D2094" w:rsidRDefault="00DF301E"/>
    <w:sectPr w:rsidR="00DF301E" w:rsidRPr="009D2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86F3" w14:textId="77777777" w:rsidR="00767E7E" w:rsidRDefault="00767E7E" w:rsidP="00FD69E4">
      <w:pPr>
        <w:spacing w:before="0" w:after="0"/>
      </w:pPr>
      <w:r>
        <w:separator/>
      </w:r>
    </w:p>
  </w:endnote>
  <w:endnote w:type="continuationSeparator" w:id="0">
    <w:p w14:paraId="27A28A68" w14:textId="77777777" w:rsidR="00767E7E" w:rsidRDefault="00767E7E" w:rsidP="00FD69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1579" w14:textId="77777777" w:rsidR="00767E7E" w:rsidRDefault="00767E7E" w:rsidP="00FD69E4">
      <w:pPr>
        <w:spacing w:before="0" w:after="0"/>
      </w:pPr>
      <w:r>
        <w:separator/>
      </w:r>
    </w:p>
  </w:footnote>
  <w:footnote w:type="continuationSeparator" w:id="0">
    <w:p w14:paraId="1AE8704E" w14:textId="77777777" w:rsidR="00767E7E" w:rsidRDefault="00767E7E" w:rsidP="00FD69E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bIwsDQ2MjIyNjZR0lEKTi0uzszPAykwrAUA/XItfSwAAAA="/>
  </w:docVars>
  <w:rsids>
    <w:rsidRoot w:val="00946093"/>
    <w:rsid w:val="000779D4"/>
    <w:rsid w:val="000915EB"/>
    <w:rsid w:val="000F622D"/>
    <w:rsid w:val="00156A84"/>
    <w:rsid w:val="00177E21"/>
    <w:rsid w:val="00185356"/>
    <w:rsid w:val="001F1174"/>
    <w:rsid w:val="0022508D"/>
    <w:rsid w:val="00271AA2"/>
    <w:rsid w:val="002745E7"/>
    <w:rsid w:val="00284BA3"/>
    <w:rsid w:val="002C0FEA"/>
    <w:rsid w:val="002F2EB7"/>
    <w:rsid w:val="0033132B"/>
    <w:rsid w:val="00356958"/>
    <w:rsid w:val="00382857"/>
    <w:rsid w:val="003838DE"/>
    <w:rsid w:val="003A7638"/>
    <w:rsid w:val="003C54A5"/>
    <w:rsid w:val="004138AE"/>
    <w:rsid w:val="0043165B"/>
    <w:rsid w:val="00440639"/>
    <w:rsid w:val="00476557"/>
    <w:rsid w:val="004778F0"/>
    <w:rsid w:val="004F3639"/>
    <w:rsid w:val="00694E32"/>
    <w:rsid w:val="006D0C30"/>
    <w:rsid w:val="006E582C"/>
    <w:rsid w:val="00767E7E"/>
    <w:rsid w:val="00774ACA"/>
    <w:rsid w:val="00780AF7"/>
    <w:rsid w:val="007C1899"/>
    <w:rsid w:val="007C6C97"/>
    <w:rsid w:val="007D0852"/>
    <w:rsid w:val="007D5A33"/>
    <w:rsid w:val="008346D5"/>
    <w:rsid w:val="00851257"/>
    <w:rsid w:val="00852CC5"/>
    <w:rsid w:val="00876E69"/>
    <w:rsid w:val="008F42A0"/>
    <w:rsid w:val="00931EFD"/>
    <w:rsid w:val="00946093"/>
    <w:rsid w:val="00994D92"/>
    <w:rsid w:val="009D2094"/>
    <w:rsid w:val="00AC42E1"/>
    <w:rsid w:val="00AE1160"/>
    <w:rsid w:val="00B6597C"/>
    <w:rsid w:val="00B86150"/>
    <w:rsid w:val="00BD4DBA"/>
    <w:rsid w:val="00BD7FA0"/>
    <w:rsid w:val="00BE6D9A"/>
    <w:rsid w:val="00CD7692"/>
    <w:rsid w:val="00D6519B"/>
    <w:rsid w:val="00D85128"/>
    <w:rsid w:val="00DF301E"/>
    <w:rsid w:val="00E0602B"/>
    <w:rsid w:val="00E07228"/>
    <w:rsid w:val="00E2436F"/>
    <w:rsid w:val="00E33EAB"/>
    <w:rsid w:val="00E53585"/>
    <w:rsid w:val="00EB1C39"/>
    <w:rsid w:val="00EE1A8F"/>
    <w:rsid w:val="00F2631B"/>
    <w:rsid w:val="00F429BC"/>
    <w:rsid w:val="00FD69E4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1191C"/>
  <w15:chartTrackingRefBased/>
  <w15:docId w15:val="{506F4269-4F22-9949-B168-D77F0E72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93"/>
    <w:pPr>
      <w:spacing w:before="100" w:beforeAutospacing="1" w:after="240"/>
      <w:jc w:val="both"/>
    </w:pPr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6093"/>
    <w:rPr>
      <w:rFonts w:cs="Simplified Arabic"/>
    </w:rPr>
  </w:style>
  <w:style w:type="character" w:customStyle="1" w:styleId="a4">
    <w:name w:val="正文文本 字符"/>
    <w:basedOn w:val="a0"/>
    <w:link w:val="a3"/>
    <w:uiPriority w:val="99"/>
    <w:rsid w:val="00946093"/>
    <w:rPr>
      <w:rFonts w:ascii="Times New Roman" w:eastAsia="宋体" w:hAnsi="Times New Roman" w:cs="Simplified Arabic"/>
      <w:kern w:val="0"/>
      <w:sz w:val="24"/>
    </w:rPr>
  </w:style>
  <w:style w:type="paragraph" w:styleId="a5">
    <w:name w:val="Revision"/>
    <w:hidden/>
    <w:uiPriority w:val="99"/>
    <w:semiHidden/>
    <w:rsid w:val="00946093"/>
    <w:rPr>
      <w:rFonts w:ascii="Times New Roman" w:eastAsia="宋体" w:hAnsi="Times New Roman" w:cs="Times New Roman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FD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69E4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69E4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C54A5"/>
    <w:pPr>
      <w:spacing w:before="0"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C54A5"/>
    <w:rPr>
      <w:rFonts w:ascii="Times New Roman" w:eastAsia="宋体" w:hAnsi="Times New Roman" w:cs="Times New Roman"/>
      <w:kern w:val="0"/>
      <w:sz w:val="18"/>
      <w:szCs w:val="18"/>
    </w:rPr>
  </w:style>
  <w:style w:type="paragraph" w:styleId="ac">
    <w:name w:val="annotation text"/>
    <w:basedOn w:val="a"/>
    <w:link w:val="ad"/>
    <w:qFormat/>
    <w:rsid w:val="00B86150"/>
    <w:pPr>
      <w:spacing w:before="0" w:beforeAutospacing="0" w:after="0"/>
      <w:jc w:val="left"/>
    </w:pPr>
    <w:rPr>
      <w:rFonts w:ascii="PMingLiU" w:eastAsia="PMingLiU" w:hAnsi="PMingLiU" w:cs="PMingLiU"/>
      <w:sz w:val="20"/>
      <w:szCs w:val="20"/>
      <w:lang w:eastAsia="zh-TW"/>
    </w:rPr>
  </w:style>
  <w:style w:type="character" w:customStyle="1" w:styleId="ad">
    <w:name w:val="批注文字 字符"/>
    <w:basedOn w:val="a0"/>
    <w:link w:val="ac"/>
    <w:qFormat/>
    <w:rsid w:val="00B86150"/>
    <w:rPr>
      <w:rFonts w:ascii="PMingLiU" w:eastAsia="PMingLiU" w:hAnsi="PMingLiU" w:cs="PMingLiU"/>
      <w:kern w:val="0"/>
      <w:sz w:val="20"/>
      <w:szCs w:val="20"/>
      <w:lang w:eastAsia="zh-TW"/>
    </w:rPr>
  </w:style>
  <w:style w:type="character" w:styleId="ae">
    <w:name w:val="annotation reference"/>
    <w:uiPriority w:val="99"/>
    <w:qFormat/>
    <w:rsid w:val="00B8615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6614A-0ED8-4FCE-A37A-5B439438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Sunland</dc:creator>
  <cp:keywords/>
  <dc:description/>
  <cp:lastModifiedBy>Sunland</cp:lastModifiedBy>
  <cp:revision>8</cp:revision>
  <dcterms:created xsi:type="dcterms:W3CDTF">2022-12-08T06:47:00Z</dcterms:created>
  <dcterms:modified xsi:type="dcterms:W3CDTF">2022-12-13T04:16:00Z</dcterms:modified>
</cp:coreProperties>
</file>