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经营者集中简易案件公示表</w:t>
      </w:r>
    </w:p>
    <w:tbl>
      <w:tblPr>
        <w:tblStyle w:val="7"/>
        <w:tblW w:w="91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5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szCs w:val="21"/>
              </w:rPr>
              <w:t>凯雷集团公司收购争鲜股份有限公司股权案</w:t>
            </w:r>
            <w:r>
              <w:rPr>
                <w:rFonts w:ascii="宋体" w:hAnsi="宋体"/>
                <w:szCs w:val="21"/>
              </w:rPr>
              <w:t>（“</w:t>
            </w:r>
            <w:r>
              <w:rPr>
                <w:szCs w:val="21"/>
              </w:rPr>
              <w:t>本次交易</w:t>
            </w:r>
            <w:r>
              <w:rPr>
                <w:rFonts w:ascii="宋体" w:hAnsi="宋体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交易概况（限200字内）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szCs w:val="28"/>
              </w:rPr>
              <w:t>凯雷集团公司（The Carlyle Group Inc.）</w:t>
            </w:r>
            <w:r>
              <w:rPr>
                <w:rFonts w:ascii="宋体" w:hAnsi="宋体"/>
                <w:szCs w:val="28"/>
              </w:rPr>
              <w:t>（“凯雷”）</w:t>
            </w:r>
            <w:r>
              <w:rPr>
                <w:szCs w:val="28"/>
              </w:rPr>
              <w:t>和</w:t>
            </w:r>
            <w:r>
              <w:rPr>
                <w:iCs/>
              </w:rPr>
              <w:t>陈氏家族</w:t>
            </w:r>
            <w:r>
              <w:rPr>
                <w:szCs w:val="28"/>
              </w:rPr>
              <w:t>订立</w:t>
            </w:r>
            <w:r>
              <w:t>主购买协议</w:t>
            </w:r>
            <w:r>
              <w:rPr>
                <w:szCs w:val="28"/>
              </w:rPr>
              <w:t>，根据该协议，凯雷将通过两家交易工具（DANBO GROUP HOLDINGS</w:t>
            </w:r>
            <w:r>
              <w:rPr>
                <w:rFonts w:ascii="宋体" w:hAnsi="宋体"/>
                <w:szCs w:val="28"/>
              </w:rPr>
              <w:t>（“</w:t>
            </w:r>
            <w:r>
              <w:rPr>
                <w:b/>
                <w:szCs w:val="28"/>
              </w:rPr>
              <w:t>JVCO 1</w:t>
            </w:r>
            <w:r>
              <w:rPr>
                <w:rFonts w:ascii="宋体" w:hAnsi="宋体"/>
                <w:szCs w:val="28"/>
              </w:rPr>
              <w:t>”）</w:t>
            </w:r>
            <w:r>
              <w:rPr>
                <w:szCs w:val="28"/>
              </w:rPr>
              <w:t>及PRIMAL POINT COMPANY LIMITED</w:t>
            </w:r>
            <w:r>
              <w:rPr>
                <w:rFonts w:ascii="宋体" w:hAnsi="宋体"/>
                <w:szCs w:val="28"/>
              </w:rPr>
              <w:t>（“</w:t>
            </w:r>
            <w:r>
              <w:rPr>
                <w:b/>
                <w:szCs w:val="28"/>
              </w:rPr>
              <w:t>JVCO 2</w:t>
            </w:r>
            <w:r>
              <w:rPr>
                <w:rFonts w:ascii="宋体" w:hAnsi="宋体"/>
                <w:szCs w:val="28"/>
              </w:rPr>
              <w:t>”）</w:t>
            </w:r>
            <w:r>
              <w:rPr>
                <w:szCs w:val="28"/>
              </w:rPr>
              <w:t>）收购争鲜餐饮有限公司（“目标公司”）26%的股份。</w:t>
            </w:r>
            <w:r>
              <w:rPr>
                <w:szCs w:val="21"/>
              </w:rPr>
              <w:t>目标公司是一家全球餐饮公司，是中国台湾</w:t>
            </w:r>
            <w:r>
              <w:rPr>
                <w:rFonts w:hint="eastAsia"/>
                <w:szCs w:val="21"/>
                <w:lang w:eastAsia="zh-CN"/>
              </w:rPr>
              <w:t>地区</w:t>
            </w:r>
            <w:r>
              <w:rPr>
                <w:szCs w:val="21"/>
              </w:rPr>
              <w:t>最大的回转寿司品牌</w:t>
            </w:r>
            <w:r>
              <w:rPr>
                <w:szCs w:val="28"/>
              </w:rPr>
              <w:t>。本次交易前，陈氏家族</w:t>
            </w:r>
            <w:r>
              <w:rPr>
                <w:rFonts w:hint="eastAsia"/>
                <w:szCs w:val="28"/>
              </w:rPr>
              <w:t>分别</w:t>
            </w:r>
            <w:r>
              <w:rPr>
                <w:szCs w:val="28"/>
              </w:rPr>
              <w:t>持有</w:t>
            </w:r>
            <w:r>
              <w:rPr>
                <w:rFonts w:hint="eastAsia"/>
                <w:szCs w:val="28"/>
              </w:rPr>
              <w:t>J</w:t>
            </w:r>
            <w:r>
              <w:rPr>
                <w:szCs w:val="28"/>
              </w:rPr>
              <w:t>VCO1</w:t>
            </w:r>
            <w:r>
              <w:rPr>
                <w:rFonts w:hint="eastAsia"/>
                <w:szCs w:val="28"/>
              </w:rPr>
              <w:t>和J</w:t>
            </w:r>
            <w:r>
              <w:rPr>
                <w:szCs w:val="28"/>
              </w:rPr>
              <w:t>VCO2 56.24%</w:t>
            </w:r>
            <w:r>
              <w:rPr>
                <w:rFonts w:hint="eastAsia"/>
                <w:szCs w:val="28"/>
              </w:rPr>
              <w:t>和1</w:t>
            </w:r>
            <w:r>
              <w:rPr>
                <w:szCs w:val="28"/>
              </w:rPr>
              <w:t>00%的股权</w:t>
            </w:r>
            <w:r>
              <w:rPr>
                <w:rFonts w:hint="eastAsia"/>
                <w:szCs w:val="28"/>
              </w:rPr>
              <w:t>，</w:t>
            </w:r>
            <w:r>
              <w:rPr>
                <w:szCs w:val="28"/>
              </w:rPr>
              <w:t>陈氏家族</w:t>
            </w:r>
            <w:r>
              <w:rPr>
                <w:rFonts w:hint="eastAsia"/>
                <w:szCs w:val="28"/>
              </w:rPr>
              <w:t>对目标公司</w:t>
            </w:r>
            <w:r>
              <w:rPr>
                <w:szCs w:val="28"/>
              </w:rPr>
              <w:t xml:space="preserve">单独控制。本次交易交割后，凯雷和陈氏家族将共同控制目标公司，并分别持有目标公司26%和74%的股权。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参与集中的经营者简介（每个限100字以内）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  <w:r>
              <w:rPr>
                <w:rFonts w:cs="Times New Roman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凯雷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凯雷于2011年7月18日在美国成立。凯雷是一家全球另类资产管理公司，管理全球范围投资的基金，这些基金主要涵盖三个投资领域：（1）全球私募股权业务（包括公司私募股权、房地产和自然资源基金）；（2）全球信贷业务（包括流动信贷、非流动信贷及实体资产信贷）；以及（3）投资解决方案（基金项目中的私募股权基金，包括一级基金、二级和相关共同投资业务）。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凯雷无最终控制人。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  <w:r>
              <w:rPr>
                <w:rFonts w:cs="Times New Roman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陈氏家族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szCs w:val="21"/>
              </w:rPr>
              <w:t>陈氏家族是争鲜的最终控制人。陈家的陈津秋（Stanley Chen）先生于1996年创立了目标公司。目标公司是中国台湾</w:t>
            </w:r>
            <w:r>
              <w:rPr>
                <w:rFonts w:hint="eastAsia"/>
                <w:szCs w:val="21"/>
                <w:lang w:eastAsia="zh-CN"/>
              </w:rPr>
              <w:t>地区</w:t>
            </w:r>
            <w:r>
              <w:rPr>
                <w:szCs w:val="21"/>
              </w:rPr>
              <w:t>最大的回转寿司品牌，在全球拥有超过400家门店，遍及中国</w:t>
            </w:r>
            <w:r>
              <w:rPr>
                <w:rFonts w:hint="eastAsia"/>
                <w:szCs w:val="21"/>
              </w:rPr>
              <w:t>内地</w:t>
            </w:r>
            <w:r>
              <w:rPr>
                <w:szCs w:val="21"/>
              </w:rPr>
              <w:t>、中国香港、新加坡和泰国。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bCs/>
                <w:color w:val="000000"/>
              </w:rPr>
              <w:t>陈氏家族无最终控制人。</w:t>
            </w:r>
          </w:p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00FE"/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备注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横向重叠：</w:t>
            </w:r>
          </w:p>
          <w:tbl>
            <w:tblPr>
              <w:tblStyle w:val="7"/>
              <w:tblpPr w:leftFromText="180" w:rightFromText="180" w:horzAnchor="margin" w:tblpY="364"/>
              <w:tblOverlap w:val="never"/>
              <w:tblW w:w="626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69"/>
              <w:gridCol w:w="1770"/>
              <w:gridCol w:w="27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相关商品市场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相关地域市场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t>2021年市场份额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2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北京市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双方合计：[10-15]%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上海市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大连市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青岛市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深圳市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广州市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成都市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天津市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凯雷：[10-15]%;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双方合计：[10-15]%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武汉市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双方合计：[10-15]%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重庆市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宁波市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南京市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杭州市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烟台市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凯雷：[5-10]%;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沈阳市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西安市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郑州市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769" w:type="dxa"/>
                </w:tcPr>
                <w:p>
                  <w:pPr>
                    <w:adjustRightInd w:val="0"/>
                    <w:snapToGrid w:val="0"/>
                    <w:ind w:left="684" w:hanging="684" w:hangingChars="285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快餐服务市场</w:t>
                  </w:r>
                </w:p>
              </w:tc>
              <w:tc>
                <w:tcPr>
                  <w:tcW w:w="1770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长沙市</w:t>
                  </w:r>
                </w:p>
              </w:tc>
              <w:tc>
                <w:tcPr>
                  <w:tcW w:w="2725" w:type="dxa"/>
                </w:tcPr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凯雷：[0-5]%;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陈氏家族：[0-5]%;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双方合计：[0-5]%</w:t>
                  </w:r>
                </w:p>
              </w:tc>
            </w:tr>
          </w:tbl>
          <w:p>
            <w:pPr>
              <w:pStyle w:val="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imes New Roman"/>
    <w:panose1 w:val="02020603050405020304"/>
    <w:charset w:val="B2"/>
    <w:family w:val="roman"/>
    <w:pitch w:val="default"/>
    <w:sig w:usb0="00000000" w:usb1="00000000" w:usb2="00000008" w:usb3="00000000" w:csb0="0000004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</w:docVars>
  <w:rsids>
    <w:rsidRoot w:val="00946093"/>
    <w:rsid w:val="00185356"/>
    <w:rsid w:val="001F1174"/>
    <w:rsid w:val="002F2EB7"/>
    <w:rsid w:val="0033132B"/>
    <w:rsid w:val="00382857"/>
    <w:rsid w:val="003A7638"/>
    <w:rsid w:val="003C54A5"/>
    <w:rsid w:val="004138AE"/>
    <w:rsid w:val="00440639"/>
    <w:rsid w:val="00476557"/>
    <w:rsid w:val="004778F0"/>
    <w:rsid w:val="00694E32"/>
    <w:rsid w:val="006E582C"/>
    <w:rsid w:val="00774ACA"/>
    <w:rsid w:val="007C1899"/>
    <w:rsid w:val="007D0852"/>
    <w:rsid w:val="008346D5"/>
    <w:rsid w:val="00851257"/>
    <w:rsid w:val="00852CC5"/>
    <w:rsid w:val="008F42A0"/>
    <w:rsid w:val="00931EFD"/>
    <w:rsid w:val="00946093"/>
    <w:rsid w:val="009D2094"/>
    <w:rsid w:val="00AE1160"/>
    <w:rsid w:val="00B86150"/>
    <w:rsid w:val="00BD4DBA"/>
    <w:rsid w:val="00BD7FA0"/>
    <w:rsid w:val="00BE6D9A"/>
    <w:rsid w:val="00CD7692"/>
    <w:rsid w:val="00DF301E"/>
    <w:rsid w:val="00E0602B"/>
    <w:rsid w:val="00E2436F"/>
    <w:rsid w:val="00E33EAB"/>
    <w:rsid w:val="00E53585"/>
    <w:rsid w:val="00EB1C39"/>
    <w:rsid w:val="00EE1A8F"/>
    <w:rsid w:val="00F2631B"/>
    <w:rsid w:val="00FD69E4"/>
    <w:rsid w:val="00FE2615"/>
    <w:rsid w:val="5B7FD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4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spacing w:before="0" w:beforeAutospacing="0" w:after="0"/>
      <w:jc w:val="left"/>
    </w:pPr>
    <w:rPr>
      <w:rFonts w:ascii="PMingLiU" w:hAnsi="PMingLiU" w:eastAsia="PMingLiU" w:cs="PMingLiU"/>
      <w:sz w:val="20"/>
      <w:szCs w:val="20"/>
      <w:lang w:eastAsia="zh-TW"/>
    </w:rPr>
  </w:style>
  <w:style w:type="paragraph" w:styleId="3">
    <w:name w:val="Body Text"/>
    <w:basedOn w:val="1"/>
    <w:link w:val="10"/>
    <w:unhideWhenUsed/>
    <w:qFormat/>
    <w:uiPriority w:val="99"/>
    <w:rPr>
      <w:rFonts w:cs="Simplified Arabic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qFormat/>
    <w:uiPriority w:val="99"/>
    <w:rPr>
      <w:sz w:val="16"/>
    </w:rPr>
  </w:style>
  <w:style w:type="character" w:customStyle="1" w:styleId="10">
    <w:name w:val="正文文本 字符"/>
    <w:basedOn w:val="8"/>
    <w:link w:val="3"/>
    <w:qFormat/>
    <w:uiPriority w:val="99"/>
    <w:rPr>
      <w:rFonts w:ascii="Times New Roman" w:hAnsi="Times New Roman" w:eastAsia="宋体" w:cs="Simplified Arabic"/>
      <w:kern w:val="0"/>
      <w:sz w:val="24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2">
    <w:name w:val="页眉 字符"/>
    <w:basedOn w:val="8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文字 字符"/>
    <w:basedOn w:val="8"/>
    <w:link w:val="2"/>
    <w:qFormat/>
    <w:uiPriority w:val="0"/>
    <w:rPr>
      <w:rFonts w:ascii="PMingLiU" w:hAnsi="PMingLiU" w:eastAsia="PMingLiU" w:cs="PMingLiU"/>
      <w:kern w:val="0"/>
      <w:sz w:val="20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285</Words>
  <Characters>1628</Characters>
  <Lines>13</Lines>
  <Paragraphs>3</Paragraphs>
  <TotalTime>1</TotalTime>
  <ScaleCrop>false</ScaleCrop>
  <LinksUpToDate>false</LinksUpToDate>
  <CharactersWithSpaces>1910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2022-11-24T14:18:00Z</dcterms:created>
  <dc:creator>Sunland</dc:creator>
  <cp:lastModifiedBy>oa</cp:lastModifiedBy>
  <dcterms:modified xsi:type="dcterms:W3CDTF">2022-11-25T15:17:04Z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