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9150" w14:textId="77777777" w:rsidR="00FF103E" w:rsidRPr="00694FB7" w:rsidRDefault="001F5695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694FB7">
        <w:rPr>
          <w:rFonts w:ascii="黑体" w:eastAsia="黑体" w:hAnsi="黑体"/>
          <w:sz w:val="36"/>
          <w:szCs w:val="36"/>
        </w:rPr>
        <w:t>经营者集中简易案件公示表</w:t>
      </w:r>
    </w:p>
    <w:p w14:paraId="6257839A" w14:textId="77777777" w:rsidR="00FF103E" w:rsidRDefault="00FF103E">
      <w:pPr>
        <w:spacing w:line="440" w:lineRule="exact"/>
        <w:rPr>
          <w:rFonts w:ascii="Times New Roman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FF103E" w14:paraId="5D9402BC" w14:textId="77777777">
        <w:tc>
          <w:tcPr>
            <w:tcW w:w="1809" w:type="dxa"/>
            <w:shd w:val="clear" w:color="auto" w:fill="D9D9D9"/>
            <w:vAlign w:val="center"/>
          </w:tcPr>
          <w:p w14:paraId="52609E1C" w14:textId="77777777" w:rsidR="00FF103E" w:rsidRDefault="001F5695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5F9E78FA" w14:textId="77777777" w:rsidR="00FF103E" w:rsidRDefault="00694FB7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湖州智</w:t>
            </w:r>
            <w:proofErr w:type="gramStart"/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驱科技</w:t>
            </w:r>
            <w:proofErr w:type="gramEnd"/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产业发展有限公司收购浙江方正电机股份有限公司股权案</w:t>
            </w:r>
          </w:p>
        </w:tc>
      </w:tr>
      <w:tr w:rsidR="00FF103E" w14:paraId="4CF60415" w14:textId="77777777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1239C010" w14:textId="77777777" w:rsidR="00FF103E" w:rsidRDefault="001F5695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交易概况</w:t>
            </w:r>
          </w:p>
          <w:p w14:paraId="4C89F084" w14:textId="77777777" w:rsidR="00FF103E" w:rsidRDefault="001F5695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（限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62DCD576" w14:textId="77777777" w:rsidR="00FF103E" w:rsidRDefault="00694FB7" w:rsidP="007800FB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湖州智</w:t>
            </w:r>
            <w:proofErr w:type="gramStart"/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驱科技</w:t>
            </w:r>
            <w:proofErr w:type="gramEnd"/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产业发展有限公</w:t>
            </w:r>
            <w:r w:rsidR="007800FB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司</w:t>
            </w:r>
            <w:r w:rsidR="001F569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（“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智驱科技</w:t>
            </w:r>
            <w:r w:rsidR="001F569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”）</w:t>
            </w:r>
            <w:r w:rsidR="00AD041B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与</w:t>
            </w:r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浙江方正电机股份有限公司</w:t>
            </w:r>
            <w:r w:rsidR="001F569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（“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方正电机</w:t>
            </w:r>
            <w:r w:rsidR="001F569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”）</w:t>
            </w:r>
            <w:r w:rsidR="006B6C49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、卓越汽车有限公司</w:t>
            </w:r>
            <w:r w:rsidR="00B95C76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签署协议，智</w:t>
            </w:r>
            <w:proofErr w:type="gramStart"/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驱科技</w:t>
            </w:r>
            <w:proofErr w:type="gramEnd"/>
            <w:r w:rsidR="00B95C76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通过非公开发行和股份转让取得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方正电机</w:t>
            </w:r>
            <w:r w:rsidR="006B6C49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共计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4.21%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股份</w:t>
            </w:r>
            <w:r w:rsidR="001F569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方正电机主要从事</w:t>
            </w:r>
            <w:r w:rsidRPr="00694FB7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新能源汽车电动机、微电机等制造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业务。交易前，卓越汽车有限公司持有方正电机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.01%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股份，单独控制方正电机。</w:t>
            </w:r>
            <w:r w:rsidR="001F569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交易后，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智</w:t>
            </w:r>
            <w:proofErr w:type="gramStart"/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驱科技</w:t>
            </w:r>
            <w:proofErr w:type="gramEnd"/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将持有方正电机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4.21%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股份，单独控制方正电机</w:t>
            </w:r>
            <w:r w:rsidR="004F628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F103E" w14:paraId="614B214A" w14:textId="77777777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150768E8" w14:textId="77777777" w:rsidR="00FF103E" w:rsidRDefault="001F5695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</w:t>
            </w:r>
          </w:p>
          <w:p w14:paraId="58504680" w14:textId="77777777" w:rsidR="00FF103E" w:rsidRDefault="001F5695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 w14:paraId="1AAD7B83" w14:textId="77777777" w:rsidR="00FF103E" w:rsidRDefault="001F5695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、</w:t>
            </w:r>
            <w:r w:rsid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智</w:t>
            </w:r>
            <w:proofErr w:type="gramStart"/>
            <w:r w:rsid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驱科技</w:t>
            </w:r>
            <w:proofErr w:type="gramEnd"/>
          </w:p>
        </w:tc>
        <w:tc>
          <w:tcPr>
            <w:tcW w:w="5153" w:type="dxa"/>
          </w:tcPr>
          <w:p w14:paraId="0C68105B" w14:textId="77777777" w:rsidR="004C63B4" w:rsidRPr="004C63B4" w:rsidRDefault="004C63B4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智</w:t>
            </w:r>
            <w:proofErr w:type="gramStart"/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驱科技</w:t>
            </w:r>
            <w:proofErr w:type="gramEnd"/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于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2022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10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11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日成立于中国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浙江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省，主要业务为以企业自有资金从事投资活动。</w:t>
            </w:r>
          </w:p>
          <w:p w14:paraId="0F483CA4" w14:textId="77777777" w:rsidR="004C63B4" w:rsidRPr="002E11FE" w:rsidRDefault="004C63B4" w:rsidP="007800FB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智</w:t>
            </w:r>
            <w:proofErr w:type="gramStart"/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驱科技</w:t>
            </w:r>
            <w:proofErr w:type="gramEnd"/>
            <w:r w:rsidR="007800FB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最终控制人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湖州莫干山高新集团有限公司，主要业务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为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城市建设和公共服务投资，项目投资与资产管理，实业投资等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F103E" w14:paraId="4F4A48EE" w14:textId="77777777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1A48F930" w14:textId="77777777" w:rsidR="00FF103E" w:rsidRDefault="00FF103E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C8C7017" w14:textId="77777777" w:rsidR="00FF103E" w:rsidRDefault="001F5695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、</w:t>
            </w:r>
            <w:r w:rsid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方正电机</w:t>
            </w:r>
          </w:p>
        </w:tc>
        <w:tc>
          <w:tcPr>
            <w:tcW w:w="5153" w:type="dxa"/>
          </w:tcPr>
          <w:p w14:paraId="32B51166" w14:textId="77777777" w:rsidR="004C63B4" w:rsidRPr="004C63B4" w:rsidRDefault="004C63B4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方正电机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于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2001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12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日成立于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中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国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浙江省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，为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深圳证券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交易所上市公司，主要业务为新能源汽车电动机、微电机等的制造、销售</w:t>
            </w:r>
            <w:r w:rsidR="00BF416E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等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。</w:t>
            </w:r>
          </w:p>
          <w:p w14:paraId="67695762" w14:textId="77777777" w:rsidR="00FF103E" w:rsidRDefault="004C63B4" w:rsidP="007800FB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方正电机</w:t>
            </w:r>
            <w:r w:rsidR="007800FB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最终控制人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中车城市交通有限公司，主要业务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为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公交线路的规划、设计、投资，城市新能电动客车、新能源电动专用车的技术开发，汽车整车及零部件的设计</w:t>
            </w:r>
            <w:r w:rsidR="00BF416E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等</w:t>
            </w:r>
            <w:r w:rsidRPr="004C63B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F103E" w14:paraId="6A67CC8D" w14:textId="77777777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6FDCB5BD" w14:textId="77777777" w:rsidR="00FF103E" w:rsidRDefault="001F5695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0135075B" w14:textId="77777777" w:rsidR="00FF103E" w:rsidRDefault="00594F6F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sym w:font="Wingdings" w:char="00A8"/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在同一相关市场，所有参与集中的经营者所占市场份额之和小于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15%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F103E" w14:paraId="4892BEB7" w14:textId="77777777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2B1F3AA8" w14:textId="77777777" w:rsidR="00FF103E" w:rsidRDefault="00FF103E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681A0084" w14:textId="77777777" w:rsidR="00FF103E" w:rsidRDefault="00594F6F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sym w:font="Wingdings" w:char="00A8"/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2.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存在上下游关系的参与集中的经营者，在上下游市场所占的市场份额均小于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25%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F103E" w14:paraId="26D2EAD6" w14:textId="77777777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40AB4880" w14:textId="77777777" w:rsidR="00FF103E" w:rsidRDefault="00FF103E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06091E0F" w14:textId="77777777" w:rsidR="00FF103E" w:rsidRDefault="00594F6F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sym w:font="Wingdings" w:char="00FE"/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3.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25%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FF103E" w14:paraId="4D5A80B1" w14:textId="77777777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0487CEDD" w14:textId="77777777" w:rsidR="00FF103E" w:rsidRDefault="00FF103E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6917B3D2" w14:textId="77777777" w:rsidR="00FF103E" w:rsidRDefault="00594F6F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sym w:font="Wingdings" w:char="00A8"/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FF103E" w14:paraId="3E2B2C4E" w14:textId="77777777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2407D461" w14:textId="77777777" w:rsidR="00FF103E" w:rsidRDefault="00FF103E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B6B4B0E" w14:textId="77777777" w:rsidR="00FF103E" w:rsidRDefault="00594F6F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sym w:font="Wingdings" w:char="00A8"/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5.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FF103E" w14:paraId="1701DE06" w14:textId="77777777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194F8C79" w14:textId="77777777" w:rsidR="00FF103E" w:rsidRDefault="00FF103E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1BCCB329" w14:textId="77777777" w:rsidR="00FF103E" w:rsidRDefault="00594F6F" w:rsidP="00594F6F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sym w:font="Wingdings" w:char="00A8"/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6.</w:t>
            </w:r>
            <w:r w:rsidR="001F569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FF103E" w14:paraId="6D2F3ECF" w14:textId="77777777">
        <w:tc>
          <w:tcPr>
            <w:tcW w:w="1809" w:type="dxa"/>
            <w:shd w:val="clear" w:color="auto" w:fill="D9D9D9"/>
            <w:vAlign w:val="center"/>
          </w:tcPr>
          <w:p w14:paraId="3DAF5383" w14:textId="77777777" w:rsidR="00FF103E" w:rsidRDefault="001F5695" w:rsidP="00594F6F"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0A239F6F" w14:textId="77777777" w:rsidR="00F80A54" w:rsidRPr="00F80A54" w:rsidRDefault="00F80A54" w:rsidP="00F80A54">
            <w:pPr>
              <w:rPr>
                <w:rFonts w:ascii="宋体" w:hAnsi="宋体"/>
                <w:b/>
                <w:sz w:val="24"/>
                <w:szCs w:val="24"/>
              </w:rPr>
            </w:pPr>
            <w:r w:rsidRPr="00F80A54">
              <w:rPr>
                <w:rFonts w:ascii="宋体" w:hAnsi="宋体" w:hint="eastAsia"/>
                <w:b/>
                <w:sz w:val="24"/>
                <w:szCs w:val="24"/>
              </w:rPr>
              <w:t>混合集中：</w:t>
            </w:r>
          </w:p>
          <w:p w14:paraId="13A82CCF" w14:textId="77777777" w:rsidR="00F80A54" w:rsidRPr="00F80A54" w:rsidRDefault="00F80A54" w:rsidP="00F80A54">
            <w:pPr>
              <w:widowControl/>
              <w:numPr>
                <w:ilvl w:val="0"/>
                <w:numId w:val="1"/>
              </w:numPr>
              <w:rPr>
                <w:rFonts w:ascii="宋体" w:hAnsi="宋体"/>
                <w:sz w:val="24"/>
                <w:szCs w:val="24"/>
              </w:rPr>
            </w:pPr>
            <w:r w:rsidRPr="00F80A54">
              <w:rPr>
                <w:rFonts w:ascii="宋体" w:hAnsi="宋体"/>
                <w:sz w:val="24"/>
                <w:szCs w:val="24"/>
              </w:rPr>
              <w:t>2021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中国境内新能源乘用车永磁同步驱动电机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市场</w:t>
            </w:r>
          </w:p>
          <w:p w14:paraId="35CBBF9E" w14:textId="77777777" w:rsidR="00F80A54" w:rsidRPr="00F80A54" w:rsidRDefault="00F80A54" w:rsidP="00F80A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方正电机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%</w:t>
            </w:r>
          </w:p>
          <w:p w14:paraId="6482CFA3" w14:textId="77777777" w:rsidR="00F80A54" w:rsidRPr="00F80A54" w:rsidRDefault="00F80A54" w:rsidP="00F80A54">
            <w:pPr>
              <w:widowControl/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 w:rsidRPr="00F80A54">
              <w:rPr>
                <w:rFonts w:ascii="宋体" w:hAnsi="宋体" w:hint="eastAsia"/>
                <w:sz w:val="24"/>
                <w:szCs w:val="24"/>
              </w:rPr>
              <w:t>2</w:t>
            </w:r>
            <w:r w:rsidRPr="00F80A54">
              <w:rPr>
                <w:rFonts w:ascii="宋体" w:hAnsi="宋体"/>
                <w:sz w:val="24"/>
                <w:szCs w:val="24"/>
              </w:rPr>
              <w:t>021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年中国境内</w:t>
            </w:r>
            <w:r>
              <w:rPr>
                <w:rFonts w:ascii="宋体" w:hAnsi="宋体" w:hint="eastAsia"/>
                <w:sz w:val="24"/>
                <w:szCs w:val="24"/>
              </w:rPr>
              <w:t>家用电器控制器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市场</w:t>
            </w:r>
          </w:p>
          <w:p w14:paraId="706BA895" w14:textId="1595ED51" w:rsidR="00F80A54" w:rsidRPr="00023B91" w:rsidRDefault="00F80A54" w:rsidP="00F80A54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方正电机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0-5</w:t>
            </w:r>
            <w:r w:rsidRPr="00F80A54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</w:tbl>
    <w:p w14:paraId="48896D94" w14:textId="77777777" w:rsidR="00FF103E" w:rsidRDefault="00FF103E">
      <w:pPr>
        <w:rPr>
          <w:rFonts w:ascii="Times New Roman" w:hAnsi="Times New Roman"/>
        </w:rPr>
      </w:pPr>
    </w:p>
    <w:sectPr w:rsidR="00FF103E" w:rsidSect="00711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D11F" w14:textId="77777777" w:rsidR="00803BC1" w:rsidRDefault="00803BC1" w:rsidP="004F6284">
      <w:r>
        <w:separator/>
      </w:r>
    </w:p>
  </w:endnote>
  <w:endnote w:type="continuationSeparator" w:id="0">
    <w:p w14:paraId="444B4D2F" w14:textId="77777777" w:rsidR="00803BC1" w:rsidRDefault="00803BC1" w:rsidP="004F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6CCF" w14:textId="77777777" w:rsidR="00803BC1" w:rsidRDefault="00803BC1" w:rsidP="004F6284">
      <w:r>
        <w:separator/>
      </w:r>
    </w:p>
  </w:footnote>
  <w:footnote w:type="continuationSeparator" w:id="0">
    <w:p w14:paraId="4DD6DFFD" w14:textId="77777777" w:rsidR="00803BC1" w:rsidRDefault="00803BC1" w:rsidP="004F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5DF"/>
    <w:multiLevelType w:val="multilevel"/>
    <w:tmpl w:val="01E145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6A34B3"/>
    <w:multiLevelType w:val="multilevel"/>
    <w:tmpl w:val="586A34B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15318096">
    <w:abstractNumId w:val="0"/>
  </w:num>
  <w:num w:numId="2" w16cid:durableId="99938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LQ0NjCwMDUwMjVW0lEKTi0uzszPAykwqgUApsR2sCwAAAA="/>
  </w:docVars>
  <w:rsids>
    <w:rsidRoot w:val="00CB00DF"/>
    <w:rsid w:val="00023B91"/>
    <w:rsid w:val="00037065"/>
    <w:rsid w:val="000D751C"/>
    <w:rsid w:val="000D7EBA"/>
    <w:rsid w:val="000E59A8"/>
    <w:rsid w:val="001164CD"/>
    <w:rsid w:val="00155717"/>
    <w:rsid w:val="00176047"/>
    <w:rsid w:val="001837A3"/>
    <w:rsid w:val="00191595"/>
    <w:rsid w:val="001F5695"/>
    <w:rsid w:val="0022639A"/>
    <w:rsid w:val="002D2D2B"/>
    <w:rsid w:val="002E11FE"/>
    <w:rsid w:val="002F2682"/>
    <w:rsid w:val="00334FA2"/>
    <w:rsid w:val="00367E88"/>
    <w:rsid w:val="003B2899"/>
    <w:rsid w:val="003C0AEB"/>
    <w:rsid w:val="003D1928"/>
    <w:rsid w:val="003D4494"/>
    <w:rsid w:val="003D603A"/>
    <w:rsid w:val="004172C6"/>
    <w:rsid w:val="00422898"/>
    <w:rsid w:val="004C63B4"/>
    <w:rsid w:val="004F6284"/>
    <w:rsid w:val="004F7688"/>
    <w:rsid w:val="00506BB6"/>
    <w:rsid w:val="00534FB9"/>
    <w:rsid w:val="00594F6F"/>
    <w:rsid w:val="005A2C6C"/>
    <w:rsid w:val="005F0987"/>
    <w:rsid w:val="005F6048"/>
    <w:rsid w:val="00611EAF"/>
    <w:rsid w:val="006467D8"/>
    <w:rsid w:val="0069295E"/>
    <w:rsid w:val="00694FB7"/>
    <w:rsid w:val="006A1D6F"/>
    <w:rsid w:val="006A531B"/>
    <w:rsid w:val="006B6C49"/>
    <w:rsid w:val="006F7693"/>
    <w:rsid w:val="00710140"/>
    <w:rsid w:val="007115CB"/>
    <w:rsid w:val="00712899"/>
    <w:rsid w:val="007800FB"/>
    <w:rsid w:val="007F2275"/>
    <w:rsid w:val="00800FED"/>
    <w:rsid w:val="00803BC1"/>
    <w:rsid w:val="00863049"/>
    <w:rsid w:val="008A295E"/>
    <w:rsid w:val="00915F0F"/>
    <w:rsid w:val="00936DC2"/>
    <w:rsid w:val="009532DF"/>
    <w:rsid w:val="00992B45"/>
    <w:rsid w:val="00997019"/>
    <w:rsid w:val="009A5029"/>
    <w:rsid w:val="009B2D48"/>
    <w:rsid w:val="009D38D5"/>
    <w:rsid w:val="009F6606"/>
    <w:rsid w:val="00A121C9"/>
    <w:rsid w:val="00A53F26"/>
    <w:rsid w:val="00A66AC4"/>
    <w:rsid w:val="00AA0CC5"/>
    <w:rsid w:val="00AD041B"/>
    <w:rsid w:val="00AE0D82"/>
    <w:rsid w:val="00AF02D9"/>
    <w:rsid w:val="00B07030"/>
    <w:rsid w:val="00B16AFE"/>
    <w:rsid w:val="00B252C2"/>
    <w:rsid w:val="00B54BD8"/>
    <w:rsid w:val="00B65DD5"/>
    <w:rsid w:val="00B77B68"/>
    <w:rsid w:val="00B95C76"/>
    <w:rsid w:val="00BD10B6"/>
    <w:rsid w:val="00BF416E"/>
    <w:rsid w:val="00C07076"/>
    <w:rsid w:val="00C30E68"/>
    <w:rsid w:val="00C706BB"/>
    <w:rsid w:val="00CB00DF"/>
    <w:rsid w:val="00D049E6"/>
    <w:rsid w:val="00D248C7"/>
    <w:rsid w:val="00D635F9"/>
    <w:rsid w:val="00D716B9"/>
    <w:rsid w:val="00D73C72"/>
    <w:rsid w:val="00DF4CDC"/>
    <w:rsid w:val="00E0592B"/>
    <w:rsid w:val="00E15D85"/>
    <w:rsid w:val="00E31738"/>
    <w:rsid w:val="00E62D90"/>
    <w:rsid w:val="00E863F3"/>
    <w:rsid w:val="00E86786"/>
    <w:rsid w:val="00EB4058"/>
    <w:rsid w:val="00EC5153"/>
    <w:rsid w:val="00ED2F80"/>
    <w:rsid w:val="00ED7A22"/>
    <w:rsid w:val="00EE0F05"/>
    <w:rsid w:val="00F13D05"/>
    <w:rsid w:val="00F1624E"/>
    <w:rsid w:val="00F32F8A"/>
    <w:rsid w:val="00F64968"/>
    <w:rsid w:val="00F80A54"/>
    <w:rsid w:val="00F810AA"/>
    <w:rsid w:val="00FA12CC"/>
    <w:rsid w:val="00FB43EC"/>
    <w:rsid w:val="00FB6B40"/>
    <w:rsid w:val="00FC7AEC"/>
    <w:rsid w:val="00FF103E"/>
    <w:rsid w:val="43E6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9AAEA"/>
  <w15:docId w15:val="{2F7A3F1B-715C-489B-9039-326B7922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7115CB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7115CB"/>
    <w:pPr>
      <w:jc w:val="left"/>
    </w:pPr>
  </w:style>
  <w:style w:type="paragraph" w:styleId="a7">
    <w:name w:val="footer"/>
    <w:basedOn w:val="a"/>
    <w:link w:val="a8"/>
    <w:uiPriority w:val="99"/>
    <w:unhideWhenUsed/>
    <w:rsid w:val="00711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1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115CB"/>
    <w:rPr>
      <w:sz w:val="21"/>
      <w:szCs w:val="21"/>
    </w:rPr>
  </w:style>
  <w:style w:type="table" w:styleId="ac">
    <w:name w:val="Table Grid"/>
    <w:basedOn w:val="a1"/>
    <w:uiPriority w:val="39"/>
    <w:rsid w:val="0071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15CB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rsid w:val="007115CB"/>
    <w:rPr>
      <w:rFonts w:ascii="Calibri" w:eastAsia="宋体" w:hAnsi="Calibri" w:cs="Times New Roman"/>
    </w:rPr>
  </w:style>
  <w:style w:type="character" w:customStyle="1" w:styleId="a5">
    <w:name w:val="批注主题 字符"/>
    <w:basedOn w:val="a6"/>
    <w:link w:val="a3"/>
    <w:uiPriority w:val="99"/>
    <w:semiHidden/>
    <w:rsid w:val="007115CB"/>
    <w:rPr>
      <w:rFonts w:ascii="Calibri" w:eastAsia="宋体" w:hAnsi="Calibri" w:cs="Times New Roman"/>
      <w:b/>
      <w:bCs/>
    </w:rPr>
  </w:style>
  <w:style w:type="paragraph" w:customStyle="1" w:styleId="1">
    <w:name w:val="修订1"/>
    <w:hidden/>
    <w:uiPriority w:val="99"/>
    <w:semiHidden/>
    <w:rsid w:val="007115CB"/>
    <w:rPr>
      <w:rFonts w:ascii="Calibri" w:eastAsia="宋体" w:hAnsi="Calibri" w:cs="Times New Roman"/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rsid w:val="007115CB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15CB"/>
    <w:rPr>
      <w:rFonts w:ascii="Calibri" w:eastAsia="宋体" w:hAnsi="Calibri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0703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0703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岳 梦雪</cp:lastModifiedBy>
  <cp:revision>11</cp:revision>
  <dcterms:created xsi:type="dcterms:W3CDTF">2022-11-01T08:04:00Z</dcterms:created>
  <dcterms:modified xsi:type="dcterms:W3CDTF">2022-11-24T04:32:00Z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