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ascii="黑体" w:hAnsi="黑体" w:eastAsia="黑体" w:cs="黑体"/>
          <w:bCs/>
          <w:kern w:val="0"/>
          <w:sz w:val="36"/>
          <w:szCs w:val="36"/>
          <w:lang w:val="en-GB" w:bidi="ar-AE"/>
        </w:rPr>
      </w:pPr>
      <w:r>
        <w:rPr>
          <w:rFonts w:hint="eastAsia" w:ascii="黑体" w:hAnsi="黑体" w:eastAsia="黑体" w:cs="黑体"/>
          <w:bCs/>
          <w:kern w:val="0"/>
          <w:sz w:val="36"/>
          <w:szCs w:val="36"/>
          <w:lang w:val="en-GB" w:bidi="ar-AE"/>
        </w:rPr>
        <w:t>经营者集中简易案件公示表</w:t>
      </w:r>
    </w:p>
    <w:tbl>
      <w:tblPr>
        <w:tblStyle w:val="7"/>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0"/>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eastAsia="en-GB" w:bidi="ar-AE"/>
              </w:rPr>
            </w:pPr>
            <w:r>
              <w:rPr>
                <w:rFonts w:hint="eastAsia" w:ascii="宋体" w:hAnsi="宋体" w:eastAsia="宋体" w:cs="宋体"/>
                <w:bCs/>
                <w:color w:val="000000"/>
                <w:kern w:val="0"/>
                <w:sz w:val="24"/>
                <w:szCs w:val="24"/>
                <w:lang w:val="en-GB" w:eastAsia="en-GB" w:bidi="ar-AE"/>
              </w:rPr>
              <w:t>案件名称</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中金资本运营有限责任公司与兆易创新科技集团股份有限公司新设合营企业案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交易概况（限200字内）</w:t>
            </w:r>
          </w:p>
        </w:tc>
        <w:tc>
          <w:tcPr>
            <w:tcW w:w="7700" w:type="dxa"/>
            <w:gridSpan w:val="2"/>
            <w:vAlign w:val="center"/>
          </w:tcPr>
          <w:p>
            <w:pPr>
              <w:adjustRightInd w:val="0"/>
              <w:snapToGrid w:val="0"/>
              <w:rPr>
                <w:rFonts w:ascii="宋体" w:hAnsi="宋体" w:eastAsia="宋体" w:cs="宋体"/>
                <w:kern w:val="0"/>
                <w:sz w:val="24"/>
                <w:szCs w:val="24"/>
                <w:lang w:bidi="ar-AE"/>
              </w:rPr>
            </w:pPr>
            <w:r>
              <w:rPr>
                <w:rFonts w:hint="eastAsia" w:ascii="宋体" w:hAnsi="宋体" w:eastAsia="宋体" w:cs="宋体"/>
                <w:bCs/>
                <w:color w:val="000000"/>
                <w:kern w:val="0"/>
                <w:sz w:val="24"/>
                <w:szCs w:val="24"/>
                <w:lang w:bidi="ar-AE"/>
              </w:rPr>
              <w:t>中金资本运营有限责任公司</w:t>
            </w:r>
            <w:r>
              <w:rPr>
                <w:rFonts w:hint="eastAsia" w:ascii="宋体" w:hAnsi="宋体" w:eastAsia="宋体" w:cs="宋体"/>
                <w:kern w:val="0"/>
                <w:sz w:val="24"/>
                <w:szCs w:val="24"/>
                <w:lang w:bidi="ar-AE"/>
              </w:rPr>
              <w:t>（以下简称“</w:t>
            </w:r>
            <w:r>
              <w:rPr>
                <w:rFonts w:hint="eastAsia" w:ascii="宋体" w:hAnsi="宋体" w:eastAsia="宋体" w:cs="宋体"/>
                <w:bCs/>
                <w:color w:val="000000"/>
                <w:kern w:val="0"/>
                <w:sz w:val="24"/>
                <w:szCs w:val="24"/>
                <w:lang w:bidi="ar-AE"/>
              </w:rPr>
              <w:t>中金资本</w:t>
            </w:r>
            <w:r>
              <w:rPr>
                <w:rFonts w:hint="eastAsia" w:ascii="宋体" w:hAnsi="宋体" w:eastAsia="宋体" w:cs="宋体"/>
                <w:kern w:val="0"/>
                <w:sz w:val="24"/>
                <w:szCs w:val="24"/>
                <w:lang w:bidi="ar-AE"/>
              </w:rPr>
              <w:t>”）、兆易创新科技集团股份有限公司（以下简称“兆易创新”）拟共同出资设立一家合营企业</w:t>
            </w:r>
            <w:r>
              <w:rPr>
                <w:rFonts w:hint="eastAsia" w:ascii="宋体" w:hAnsi="宋体" w:eastAsia="宋体" w:cs="宋体"/>
                <w:kern w:val="0"/>
                <w:sz w:val="24"/>
                <w:szCs w:val="24"/>
                <w:lang w:val="en-GB" w:bidi="ar-AE"/>
              </w:rPr>
              <w:t>（以下简称“</w:t>
            </w:r>
            <w:r>
              <w:rPr>
                <w:rFonts w:hint="eastAsia" w:ascii="宋体" w:hAnsi="宋体" w:eastAsia="宋体" w:cs="宋体"/>
                <w:bCs/>
                <w:kern w:val="0"/>
                <w:sz w:val="24"/>
                <w:szCs w:val="24"/>
                <w:lang w:val="en-GB" w:bidi="ar-AE"/>
              </w:rPr>
              <w:t>合营企业</w:t>
            </w:r>
            <w:r>
              <w:rPr>
                <w:rFonts w:hint="eastAsia" w:ascii="宋体" w:hAnsi="宋体" w:eastAsia="宋体" w:cs="宋体"/>
                <w:kern w:val="0"/>
                <w:sz w:val="24"/>
                <w:szCs w:val="24"/>
                <w:lang w:val="en-GB" w:bidi="ar-AE"/>
              </w:rPr>
              <w:t>”）</w:t>
            </w:r>
            <w:r>
              <w:rPr>
                <w:rFonts w:hint="eastAsia" w:ascii="宋体" w:hAnsi="宋体" w:eastAsia="宋体" w:cs="宋体"/>
                <w:kern w:val="0"/>
                <w:sz w:val="24"/>
                <w:szCs w:val="24"/>
                <w:lang w:bidi="ar-AE"/>
              </w:rPr>
              <w:t>。中金</w:t>
            </w:r>
            <w:r>
              <w:rPr>
                <w:rFonts w:hint="eastAsia" w:ascii="宋体" w:hAnsi="宋体" w:eastAsia="宋体" w:cs="宋体"/>
                <w:bCs/>
                <w:color w:val="000000"/>
                <w:kern w:val="0"/>
                <w:sz w:val="24"/>
                <w:szCs w:val="24"/>
                <w:lang w:bidi="ar-AE"/>
              </w:rPr>
              <w:t>资本</w:t>
            </w:r>
            <w:r>
              <w:rPr>
                <w:rFonts w:hint="eastAsia" w:ascii="宋体" w:hAnsi="宋体" w:eastAsia="宋体" w:cs="宋体"/>
                <w:kern w:val="0"/>
                <w:sz w:val="24"/>
                <w:szCs w:val="24"/>
                <w:lang w:bidi="ar-AE"/>
              </w:rPr>
              <w:t>、兆易创新将分别持有合营企业1</w:t>
            </w:r>
            <w:r>
              <w:rPr>
                <w:rFonts w:ascii="宋体" w:hAnsi="宋体" w:eastAsia="宋体" w:cs="宋体"/>
                <w:kern w:val="0"/>
                <w:sz w:val="24"/>
                <w:szCs w:val="24"/>
                <w:lang w:bidi="ar-AE"/>
              </w:rPr>
              <w:t>%</w:t>
            </w:r>
            <w:r>
              <w:rPr>
                <w:rFonts w:hint="eastAsia" w:ascii="宋体" w:hAnsi="宋体" w:eastAsia="宋体" w:cs="宋体"/>
                <w:kern w:val="0"/>
                <w:sz w:val="24"/>
                <w:szCs w:val="24"/>
                <w:lang w:bidi="ar-AE"/>
              </w:rPr>
              <w:t>、9</w:t>
            </w:r>
            <w:r>
              <w:rPr>
                <w:rFonts w:ascii="宋体" w:hAnsi="宋体" w:eastAsia="宋体" w:cs="宋体"/>
                <w:kern w:val="0"/>
                <w:sz w:val="24"/>
                <w:szCs w:val="24"/>
                <w:lang w:bidi="ar-AE"/>
              </w:rPr>
              <w:t>9%</w:t>
            </w:r>
            <w:r>
              <w:rPr>
                <w:rFonts w:hint="eastAsia" w:ascii="宋体" w:hAnsi="宋体" w:eastAsia="宋体" w:cs="宋体"/>
                <w:kern w:val="0"/>
                <w:sz w:val="24"/>
                <w:szCs w:val="24"/>
                <w:lang w:bidi="ar-AE"/>
              </w:rPr>
              <w:t>的股权，本交易后中金</w:t>
            </w:r>
            <w:r>
              <w:rPr>
                <w:rFonts w:hint="eastAsia" w:ascii="宋体" w:hAnsi="宋体" w:eastAsia="宋体" w:cs="宋体"/>
                <w:bCs/>
                <w:color w:val="000000"/>
                <w:kern w:val="0"/>
                <w:sz w:val="24"/>
                <w:szCs w:val="24"/>
                <w:lang w:bidi="ar-AE"/>
              </w:rPr>
              <w:t>资本</w:t>
            </w:r>
            <w:r>
              <w:rPr>
                <w:rFonts w:hint="eastAsia" w:ascii="宋体" w:hAnsi="宋体" w:eastAsia="宋体" w:cs="宋体"/>
                <w:kern w:val="0"/>
                <w:sz w:val="24"/>
                <w:szCs w:val="24"/>
                <w:lang w:bidi="ar-AE"/>
              </w:rPr>
              <w:t>与兆易创新将共同控制该合营企业。合营企业拟主要从事中国境内私募股权投资基金管理业务。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参与集中的经营者简介（每个限</w:t>
            </w:r>
            <w:r>
              <w:rPr>
                <w:rFonts w:hint="eastAsia" w:ascii="宋体" w:hAnsi="宋体" w:eastAsia="宋体" w:cs="宋体"/>
                <w:bCs/>
                <w:color w:val="000000"/>
                <w:kern w:val="0"/>
                <w:sz w:val="24"/>
                <w:szCs w:val="24"/>
                <w:lang w:bidi="ar-AE"/>
              </w:rPr>
              <w:t>100字以内</w:t>
            </w:r>
            <w:r>
              <w:rPr>
                <w:rFonts w:hint="eastAsia" w:ascii="宋体" w:hAnsi="宋体" w:eastAsia="宋体" w:cs="宋体"/>
                <w:bCs/>
                <w:color w:val="000000"/>
                <w:kern w:val="0"/>
                <w:sz w:val="24"/>
                <w:szCs w:val="24"/>
                <w:lang w:val="en-GB" w:bidi="ar-AE"/>
              </w:rPr>
              <w:t>）</w:t>
            </w:r>
          </w:p>
        </w:tc>
        <w:tc>
          <w:tcPr>
            <w:tcW w:w="1607" w:type="dxa"/>
            <w:vAlign w:val="center"/>
          </w:tcPr>
          <w:p>
            <w:pPr>
              <w:widowControl/>
              <w:adjustRightInd w:val="0"/>
              <w:snapToGrid w:val="0"/>
              <w:rPr>
                <w:rFonts w:ascii="宋体" w:hAnsi="宋体" w:eastAsia="宋体" w:cs="宋体"/>
                <w:bCs/>
                <w:color w:val="000000"/>
                <w:kern w:val="0"/>
                <w:sz w:val="24"/>
                <w:szCs w:val="24"/>
                <w:lang w:val="en-GB" w:bidi="ar-AE"/>
              </w:rPr>
            </w:pPr>
            <w:r>
              <w:rPr>
                <w:rFonts w:hint="eastAsia" w:ascii="宋体" w:hAnsi="宋体" w:eastAsia="宋体" w:cs="宋体"/>
                <w:bCs/>
                <w:color w:val="000000"/>
                <w:kern w:val="0"/>
                <w:sz w:val="24"/>
                <w:szCs w:val="24"/>
                <w:lang w:bidi="ar-AE"/>
              </w:rPr>
              <w:t>1.</w:t>
            </w:r>
            <w:r>
              <w:rPr>
                <w:rFonts w:hint="eastAsia" w:ascii="Times New Roman" w:hAnsi="Times New Roman" w:eastAsia="宋体" w:cs="Simplified Arabic"/>
                <w:kern w:val="0"/>
                <w:sz w:val="24"/>
                <w:szCs w:val="24"/>
                <w:lang w:val="en-GB" w:eastAsia="en-GB" w:bidi="ar-AE"/>
              </w:rPr>
              <w:t xml:space="preserve"> </w:t>
            </w:r>
            <w:r>
              <w:rPr>
                <w:rFonts w:hint="eastAsia" w:ascii="宋体" w:hAnsi="宋体" w:eastAsia="宋体" w:cs="宋体"/>
                <w:bCs/>
                <w:color w:val="000000"/>
                <w:kern w:val="0"/>
                <w:sz w:val="24"/>
                <w:szCs w:val="24"/>
                <w:lang w:val="en-GB" w:bidi="ar-AE"/>
              </w:rPr>
              <w:t>中金资本</w:t>
            </w:r>
          </w:p>
        </w:tc>
        <w:tc>
          <w:tcPr>
            <w:tcW w:w="6093" w:type="dxa"/>
            <w:vAlign w:val="center"/>
          </w:tcPr>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中金资本于</w:t>
            </w:r>
            <w:r>
              <w:rPr>
                <w:rFonts w:ascii="宋体" w:hAnsi="宋体" w:eastAsia="宋体" w:cs="Times New Roman"/>
                <w:sz w:val="24"/>
                <w:szCs w:val="24"/>
              </w:rPr>
              <w:t>2017年3月6日成立于北京市，主要从事私募股权基金管理业务。</w:t>
            </w:r>
          </w:p>
          <w:p>
            <w:pPr>
              <w:widowControl/>
              <w:snapToGrid w:val="0"/>
              <w:jc w:val="left"/>
              <w:rPr>
                <w:rFonts w:ascii="宋体" w:hAnsi="宋体" w:eastAsia="宋体" w:cs="Times New Roman"/>
                <w:sz w:val="24"/>
                <w:szCs w:val="24"/>
              </w:rPr>
            </w:pPr>
            <w:r>
              <w:rPr>
                <w:rFonts w:hint="eastAsia" w:ascii="宋体" w:hAnsi="宋体" w:eastAsia="宋体" w:cs="Times New Roman"/>
                <w:sz w:val="24"/>
                <w:szCs w:val="24"/>
              </w:rPr>
              <w:t>中金资本最终控制人为中国国际金融股份有限公司，主要从事投资银行、证券服务等业务。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1607" w:type="dxa"/>
            <w:vAlign w:val="center"/>
          </w:tcPr>
          <w:p>
            <w:pPr>
              <w:widowControl/>
              <w:adjustRightInd w:val="0"/>
              <w:snapToGrid w:val="0"/>
              <w:rPr>
                <w:rFonts w:ascii="宋体" w:hAnsi="宋体" w:eastAsia="宋体" w:cs="宋体"/>
                <w:bCs/>
                <w:color w:val="000000"/>
                <w:kern w:val="0"/>
                <w:sz w:val="24"/>
                <w:szCs w:val="24"/>
                <w:lang w:bidi="ar-AE"/>
              </w:rPr>
            </w:pPr>
            <w:r>
              <w:rPr>
                <w:rFonts w:ascii="宋体" w:hAnsi="宋体" w:eastAsia="宋体" w:cs="宋体"/>
                <w:bCs/>
                <w:color w:val="000000"/>
                <w:kern w:val="0"/>
                <w:sz w:val="24"/>
                <w:szCs w:val="24"/>
                <w:lang w:bidi="ar-AE"/>
              </w:rPr>
              <w:t>2</w:t>
            </w:r>
            <w:r>
              <w:rPr>
                <w:rFonts w:hint="eastAsia" w:ascii="宋体" w:hAnsi="宋体" w:eastAsia="宋体" w:cs="宋体"/>
                <w:bCs/>
                <w:color w:val="000000"/>
                <w:kern w:val="0"/>
                <w:sz w:val="24"/>
                <w:szCs w:val="24"/>
                <w:lang w:bidi="ar-AE"/>
              </w:rPr>
              <w:t xml:space="preserve">. </w:t>
            </w:r>
            <w:r>
              <w:rPr>
                <w:rFonts w:hint="eastAsia" w:ascii="宋体" w:hAnsi="宋体" w:eastAsia="宋体" w:cs="宋体"/>
                <w:kern w:val="0"/>
                <w:sz w:val="24"/>
                <w:szCs w:val="24"/>
                <w:lang w:bidi="ar-AE"/>
              </w:rPr>
              <w:t>兆易创新</w:t>
            </w:r>
          </w:p>
        </w:tc>
        <w:tc>
          <w:tcPr>
            <w:tcW w:w="6093" w:type="dxa"/>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兆易创新于2</w:t>
            </w:r>
            <w:r>
              <w:rPr>
                <w:rFonts w:ascii="宋体" w:hAnsi="宋体" w:eastAsia="宋体" w:cs="宋体"/>
                <w:bCs/>
                <w:color w:val="000000"/>
                <w:kern w:val="0"/>
                <w:sz w:val="24"/>
                <w:szCs w:val="24"/>
                <w:lang w:bidi="ar-AE"/>
              </w:rPr>
              <w:t>005</w:t>
            </w:r>
            <w:r>
              <w:rPr>
                <w:rFonts w:hint="eastAsia" w:ascii="宋体" w:hAnsi="宋体" w:eastAsia="宋体" w:cs="宋体"/>
                <w:bCs/>
                <w:color w:val="000000"/>
                <w:kern w:val="0"/>
                <w:sz w:val="24"/>
                <w:szCs w:val="24"/>
                <w:lang w:bidi="ar-AE"/>
              </w:rPr>
              <w:t>年4月6日成立于北京市，主要从事存储器、微控制器和传感器的研发、技术支持和销售业务。</w:t>
            </w:r>
          </w:p>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兆易创新最终控制人为朱一明先生。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1940" w:type="dxa"/>
            <w:vMerge w:val="restart"/>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t>简易案件理由（可以单选，也可以多选）</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ascii="宋体" w:hAnsi="宋体" w:eastAsia="宋体" w:cs="宋体"/>
                <w:bCs/>
                <w:color w:val="000000"/>
                <w:kern w:val="0"/>
                <w:sz w:val="24"/>
                <w:szCs w:val="24"/>
                <w:lang w:val="en-GB" w:bidi="ar-AE"/>
              </w:rPr>
              <w:t xml:space="preserve"> </w:t>
            </w:r>
            <w:r>
              <w:rPr>
                <w:rFonts w:hint="eastAsia" w:ascii="宋体" w:hAnsi="宋体" w:eastAsia="宋体" w:cs="宋体"/>
                <w:bCs/>
                <w:color w:val="000000"/>
                <w:kern w:val="0"/>
                <w:sz w:val="24"/>
                <w:szCs w:val="24"/>
                <w:lang w:val="en-GB" w:bidi="ar-AE"/>
              </w:rPr>
              <w:t>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FE"/>
            </w:r>
            <w:r>
              <w:rPr>
                <w:rFonts w:hint="eastAsia" w:ascii="宋体" w:hAnsi="宋体" w:eastAsia="宋体" w:cs="宋体"/>
                <w:bCs/>
                <w:color w:val="000000"/>
                <w:kern w:val="0"/>
                <w:sz w:val="24"/>
                <w:szCs w:val="24"/>
                <w:lang w:val="en-GB" w:bidi="ar-AE"/>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1940" w:type="dxa"/>
            <w:vMerge w:val="continue"/>
            <w:shd w:val="clear" w:color="auto" w:fill="D9D9D9"/>
            <w:vAlign w:val="center"/>
          </w:tcPr>
          <w:p>
            <w:pPr>
              <w:widowControl/>
              <w:adjustRightInd w:val="0"/>
              <w:snapToGrid w:val="0"/>
              <w:rPr>
                <w:rFonts w:ascii="宋体" w:hAnsi="宋体" w:eastAsia="宋体" w:cs="宋体"/>
                <w:bCs/>
                <w:color w:val="000000"/>
                <w:kern w:val="0"/>
                <w:sz w:val="24"/>
                <w:szCs w:val="24"/>
                <w:lang w:bidi="ar-AE"/>
              </w:rPr>
            </w:pP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val="en-GB" w:bidi="ar-AE"/>
              </w:rPr>
              <w:sym w:font="Wingdings" w:char="00A8"/>
            </w:r>
            <w:r>
              <w:rPr>
                <w:rFonts w:hint="eastAsia" w:ascii="宋体" w:hAnsi="宋体" w:eastAsia="宋体" w:cs="宋体"/>
                <w:bCs/>
                <w:color w:val="000000"/>
                <w:kern w:val="0"/>
                <w:sz w:val="24"/>
                <w:szCs w:val="24"/>
                <w:lang w:val="en-GB" w:bidi="ar-AE"/>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trPr>
        <w:tc>
          <w:tcPr>
            <w:tcW w:w="1940" w:type="dxa"/>
            <w:shd w:val="clear" w:color="auto" w:fill="D9D9D9"/>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备注</w:t>
            </w:r>
          </w:p>
        </w:tc>
        <w:tc>
          <w:tcPr>
            <w:tcW w:w="7700" w:type="dxa"/>
            <w:gridSpan w:val="2"/>
            <w:vAlign w:val="center"/>
          </w:tcPr>
          <w:p>
            <w:pPr>
              <w:widowControl/>
              <w:adjustRightInd w:val="0"/>
              <w:snapToGrid w:val="0"/>
              <w:rPr>
                <w:rFonts w:ascii="宋体" w:hAnsi="宋体" w:eastAsia="宋体" w:cs="宋体"/>
                <w:bCs/>
                <w:color w:val="000000"/>
                <w:kern w:val="0"/>
                <w:sz w:val="24"/>
                <w:szCs w:val="24"/>
                <w:lang w:bidi="ar-AE"/>
              </w:rPr>
            </w:pPr>
            <w:r>
              <w:rPr>
                <w:rFonts w:hint="eastAsia" w:ascii="宋体" w:hAnsi="宋体" w:eastAsia="宋体" w:cs="宋体"/>
                <w:bCs/>
                <w:color w:val="000000"/>
                <w:kern w:val="0"/>
                <w:sz w:val="24"/>
                <w:szCs w:val="24"/>
                <w:lang w:bidi="ar-AE"/>
              </w:rPr>
              <w:t>中金资本与兆易创新的主营业务不在同一相关市场，也不存在上下游关系。</w:t>
            </w:r>
            <w:r>
              <w:rPr>
                <w:rFonts w:ascii="宋体" w:hAnsi="宋体" w:eastAsia="宋体" w:cs="宋体"/>
                <w:bCs/>
                <w:color w:val="000000"/>
                <w:kern w:val="0"/>
                <w:sz w:val="24"/>
                <w:szCs w:val="24"/>
                <w:lang w:bidi="ar-AE"/>
              </w:rPr>
              <w:t>2021</w:t>
            </w:r>
            <w:r>
              <w:rPr>
                <w:rFonts w:hint="eastAsia" w:ascii="宋体" w:hAnsi="宋体" w:eastAsia="宋体" w:cs="宋体"/>
                <w:bCs/>
                <w:color w:val="000000"/>
                <w:kern w:val="0"/>
                <w:sz w:val="24"/>
                <w:szCs w:val="24"/>
                <w:lang w:bidi="ar-AE"/>
              </w:rPr>
              <w:t>年，在与交易相关的</w:t>
            </w:r>
            <w:r>
              <w:rPr>
                <w:rFonts w:hint="eastAsia" w:ascii="宋体" w:hAnsi="宋体" w:eastAsia="宋体" w:cs="宋体"/>
                <w:kern w:val="0"/>
                <w:sz w:val="24"/>
                <w:szCs w:val="24"/>
                <w:lang w:bidi="ar-AE"/>
              </w:rPr>
              <w:t>中国境内私募股权投资基金管理业务市场中，中金资本所占份额</w:t>
            </w:r>
            <w:r>
              <w:rPr>
                <w:rFonts w:hint="eastAsia" w:ascii="宋体" w:hAnsi="宋体" w:eastAsia="宋体" w:cs="宋体"/>
                <w:bCs/>
                <w:color w:val="000000"/>
                <w:kern w:val="0"/>
                <w:sz w:val="24"/>
                <w:szCs w:val="24"/>
                <w:lang w:val="en-GB" w:bidi="ar-AE"/>
              </w:rPr>
              <w:t>为</w:t>
            </w:r>
            <w:r>
              <w:rPr>
                <w:rFonts w:ascii="宋体" w:hAnsi="宋体" w:eastAsia="宋体" w:cs="宋体"/>
                <w:bCs/>
                <w:color w:val="000000"/>
                <w:kern w:val="0"/>
                <w:sz w:val="24"/>
                <w:szCs w:val="24"/>
                <w:lang w:bidi="ar-AE"/>
              </w:rPr>
              <w:t>0-5%</w:t>
            </w:r>
            <w:r>
              <w:rPr>
                <w:rFonts w:hint="eastAsia" w:ascii="宋体" w:hAnsi="宋体" w:eastAsia="宋体" w:cs="宋体"/>
                <w:bCs/>
                <w:color w:val="000000"/>
                <w:kern w:val="0"/>
                <w:sz w:val="24"/>
                <w:szCs w:val="24"/>
                <w:lang w:bidi="ar-AE"/>
              </w:rPr>
              <w:t>。</w:t>
            </w:r>
          </w:p>
        </w:tc>
      </w:tr>
    </w:tbl>
    <w:p>
      <w:pPr>
        <w:widowControl/>
        <w:adjustRightInd w:val="0"/>
        <w:snapToGrid w:val="0"/>
        <w:rPr>
          <w:rFonts w:ascii="Arial" w:hAnsi="Arial" w:eastAsia="楷体_GB2312" w:cs="Arial"/>
          <w:b/>
          <w:color w:val="000000"/>
          <w:kern w:val="0"/>
          <w:sz w:val="22"/>
          <w:lang w:val="en-GB" w:bidi="ar-AE"/>
        </w:rPr>
      </w:pPr>
    </w:p>
    <w:p>
      <w:pPr>
        <w:rPr>
          <w:lang w:val="en-GB"/>
        </w:rPr>
      </w:pPr>
      <w:bookmarkStart w:id="0" w:name="_GoBack"/>
      <w:bookmarkEnd w:id="0"/>
    </w:p>
    <w:sectPr>
      <w:footerReference r:id="rId3" w:type="default"/>
      <w:pgSz w:w="11906" w:h="16838"/>
      <w:pgMar w:top="1440" w:right="1440" w:bottom="1276" w:left="1440" w:header="720" w:footer="34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宋简"/>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Simplified Arabic">
    <w:altName w:val="Times New Roman"/>
    <w:panose1 w:val="00000000000000000000"/>
    <w:charset w:val="B2"/>
    <w:family w:val="roman"/>
    <w:pitch w:val="default"/>
    <w:sig w:usb0="00000000" w:usb1="00000000" w:usb2="00000008" w:usb3="00000000" w:csb0="00000041" w:csb1="00000000"/>
  </w:font>
  <w:font w:name="Arial">
    <w:altName w:val="Times New Roman"/>
    <w:panose1 w:val="020B06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宋简">
    <w:panose1 w:val="02010600000101010101"/>
    <w:charset w:val="86"/>
    <w:family w:val="auto"/>
    <w:pitch w:val="default"/>
    <w:sig w:usb0="00000001" w:usb1="080E0800" w:usb2="00000002"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7"/>
      <w:tblW w:w="0" w:type="auto"/>
      <w:tblInd w:w="0" w:type="dxa"/>
      <w:tblLayout w:type="autofit"/>
      <w:tblCellMar>
        <w:top w:w="0" w:type="dxa"/>
        <w:left w:w="108" w:type="dxa"/>
        <w:bottom w:w="0" w:type="dxa"/>
        <w:right w:w="108" w:type="dxa"/>
      </w:tblCellMar>
    </w:tblPr>
    <w:tblGrid>
      <w:gridCol w:w="3080"/>
      <w:gridCol w:w="3081"/>
      <w:gridCol w:w="3081"/>
    </w:tblGrid>
    <w:tr>
      <w:tblPrEx>
        <w:tblCellMar>
          <w:top w:w="0" w:type="dxa"/>
          <w:left w:w="108" w:type="dxa"/>
          <w:bottom w:w="0" w:type="dxa"/>
          <w:right w:w="108" w:type="dxa"/>
        </w:tblCellMar>
      </w:tblPrEx>
      <w:tc>
        <w:tcPr>
          <w:tcW w:w="3080" w:type="dxa"/>
        </w:tcPr>
        <w:p>
          <w:pPr>
            <w:pStyle w:val="4"/>
          </w:pPr>
        </w:p>
      </w:tc>
      <w:tc>
        <w:tcPr>
          <w:tcW w:w="3081" w:type="dxa"/>
        </w:tcPr>
        <w:p>
          <w:pPr>
            <w:pStyle w:val="4"/>
            <w:jc w:val="center"/>
            <w:rPr>
              <w:rStyle w:val="9"/>
              <w:rFonts w:cs="Times New Roman"/>
            </w:rPr>
          </w:pPr>
          <w:r>
            <w:rPr>
              <w:rStyle w:val="9"/>
              <w:rFonts w:cs="Times New Roman"/>
            </w:rPr>
            <w:t xml:space="preserve">- </w:t>
          </w:r>
          <w:r>
            <w:rPr>
              <w:rStyle w:val="9"/>
              <w:rFonts w:cs="Times New Roman"/>
            </w:rPr>
            <w:fldChar w:fldCharType="begin"/>
          </w:r>
          <w:r>
            <w:rPr>
              <w:rStyle w:val="9"/>
              <w:rFonts w:cs="Times New Roman"/>
            </w:rPr>
            <w:instrText xml:space="preserve"> PAGE   \* MERGEFORMAT </w:instrText>
          </w:r>
          <w:r>
            <w:rPr>
              <w:rStyle w:val="9"/>
              <w:rFonts w:cs="Times New Roman"/>
            </w:rPr>
            <w:fldChar w:fldCharType="separate"/>
          </w:r>
          <w:r>
            <w:rPr>
              <w:rStyle w:val="9"/>
              <w:rFonts w:cs="Times New Roman"/>
              <w:lang w:val="en-US"/>
            </w:rPr>
            <w:t>2</w:t>
          </w:r>
          <w:r>
            <w:rPr>
              <w:rStyle w:val="9"/>
              <w:rFonts w:cs="Times New Roman"/>
            </w:rPr>
            <w:fldChar w:fldCharType="end"/>
          </w:r>
          <w:r>
            <w:rPr>
              <w:rStyle w:val="9"/>
              <w:rFonts w:cs="Times New Roman"/>
            </w:rPr>
            <w:t xml:space="preserve"> -</w:t>
          </w:r>
        </w:p>
      </w:tc>
      <w:tc>
        <w:tcPr>
          <w:tcW w:w="3081" w:type="dxa"/>
        </w:tcPr>
        <w:p>
          <w:pPr>
            <w:pStyle w:val="12"/>
          </w:pPr>
        </w:p>
      </w:tc>
    </w:tr>
  </w:tbl>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11"/>
    <w:rsid w:val="00043DEF"/>
    <w:rsid w:val="000C7440"/>
    <w:rsid w:val="00314DFE"/>
    <w:rsid w:val="00557364"/>
    <w:rsid w:val="005E12C1"/>
    <w:rsid w:val="00680892"/>
    <w:rsid w:val="006A6973"/>
    <w:rsid w:val="00730311"/>
    <w:rsid w:val="007C4031"/>
    <w:rsid w:val="007C761D"/>
    <w:rsid w:val="0080131B"/>
    <w:rsid w:val="008565AB"/>
    <w:rsid w:val="00A45856"/>
    <w:rsid w:val="00A60FD0"/>
    <w:rsid w:val="00BD27CA"/>
    <w:rsid w:val="00C44DF2"/>
    <w:rsid w:val="00C81331"/>
    <w:rsid w:val="00D41C03"/>
    <w:rsid w:val="00D4344B"/>
    <w:rsid w:val="00DB7E88"/>
    <w:rsid w:val="00E341CD"/>
    <w:rsid w:val="00F96383"/>
    <w:rsid w:val="00FE7676"/>
    <w:rsid w:val="CBAFA9EB"/>
    <w:rsid w:val="FCDBA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7"/>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6"/>
    <w:semiHidden/>
    <w:unhideWhenUsed/>
    <w:qFormat/>
    <w:uiPriority w:val="99"/>
    <w:rPr>
      <w:b/>
      <w:bCs/>
    </w:rPr>
  </w:style>
  <w:style w:type="character" w:styleId="9">
    <w:name w:val="page number"/>
    <w:qFormat/>
    <w:uiPriority w:val="0"/>
    <w:rPr>
      <w:rFonts w:ascii="Times New Roman" w:hAnsi="Times New Roman" w:eastAsia="宋体" w:cs="Simplified Arabic"/>
      <w:sz w:val="24"/>
      <w:szCs w:val="24"/>
      <w:lang w:val="en-GB" w:bidi="ar-AE"/>
    </w:rPr>
  </w:style>
  <w:style w:type="character" w:styleId="10">
    <w:name w:val="annotation reference"/>
    <w:basedOn w:val="8"/>
    <w:semiHidden/>
    <w:unhideWhenUsed/>
    <w:qFormat/>
    <w:uiPriority w:val="99"/>
    <w:rPr>
      <w:sz w:val="21"/>
      <w:szCs w:val="21"/>
    </w:rPr>
  </w:style>
  <w:style w:type="character" w:customStyle="1" w:styleId="11">
    <w:name w:val="页脚 字符"/>
    <w:basedOn w:val="8"/>
    <w:link w:val="4"/>
    <w:qFormat/>
    <w:uiPriority w:val="99"/>
    <w:rPr>
      <w:sz w:val="18"/>
      <w:szCs w:val="18"/>
    </w:rPr>
  </w:style>
  <w:style w:type="paragraph" w:customStyle="1" w:styleId="12">
    <w:name w:val="Footer Right"/>
    <w:basedOn w:val="4"/>
    <w:qFormat/>
    <w:uiPriority w:val="0"/>
    <w:pPr>
      <w:widowControl/>
      <w:tabs>
        <w:tab w:val="clear" w:pos="4153"/>
        <w:tab w:val="clear" w:pos="8306"/>
      </w:tabs>
      <w:snapToGrid/>
      <w:jc w:val="right"/>
    </w:pPr>
    <w:rPr>
      <w:rFonts w:ascii="Times New Roman" w:hAnsi="Times New Roman" w:eastAsia="宋体" w:cs="Times New Roman"/>
      <w:kern w:val="0"/>
      <w:sz w:val="16"/>
      <w:szCs w:val="16"/>
      <w:lang w:val="en-GB" w:bidi="he-IL"/>
    </w:rPr>
  </w:style>
  <w:style w:type="paragraph" w:customStyle="1" w:styleId="13">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4">
    <w:name w:val="页眉 字符"/>
    <w:basedOn w:val="8"/>
    <w:link w:val="5"/>
    <w:qFormat/>
    <w:uiPriority w:val="99"/>
    <w:rPr>
      <w:sz w:val="18"/>
      <w:szCs w:val="18"/>
    </w:rPr>
  </w:style>
  <w:style w:type="character" w:customStyle="1" w:styleId="15">
    <w:name w:val="批注文字 字符"/>
    <w:basedOn w:val="8"/>
    <w:link w:val="2"/>
    <w:semiHidden/>
    <w:qFormat/>
    <w:uiPriority w:val="99"/>
  </w:style>
  <w:style w:type="character" w:customStyle="1" w:styleId="16">
    <w:name w:val="批注主题 字符"/>
    <w:basedOn w:val="15"/>
    <w:link w:val="6"/>
    <w:semiHidden/>
    <w:qFormat/>
    <w:uiPriority w:val="99"/>
    <w:rPr>
      <w:b/>
      <w:bCs/>
    </w:rPr>
  </w:style>
  <w:style w:type="character" w:customStyle="1" w:styleId="17">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739</Words>
  <Characters>772</Characters>
  <Lines>5</Lines>
  <Paragraphs>1</Paragraphs>
  <TotalTime>37</TotalTime>
  <ScaleCrop>false</ScaleCrop>
  <LinksUpToDate>false</LinksUpToDate>
  <CharactersWithSpaces>781</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2022-08-26T12:11:00Z</dcterms:created>
  <dc:creator>Jingya Tang (CCM)</dc:creator>
  <cp:lastModifiedBy>oa</cp:lastModifiedBy>
  <dcterms:modified xsi:type="dcterms:W3CDTF">2022-11-18T13:08:37Z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ies>
</file>