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40" w:lineRule="exact"/>
        <w:jc w:val="center"/>
        <w:rPr>
          <w:rFonts w:ascii="黑体" w:hAnsi="黑体" w:eastAsia="黑体" w:cs="Times New Roman"/>
          <w:sz w:val="36"/>
          <w:szCs w:val="36"/>
        </w:rPr>
      </w:pPr>
      <w:bookmarkStart w:id="0" w:name="_GoBack"/>
      <w:r>
        <w:rPr>
          <w:rFonts w:ascii="黑体" w:hAnsi="黑体" w:eastAsia="黑体" w:cs="Times New Roman"/>
          <w:sz w:val="36"/>
          <w:szCs w:val="36"/>
        </w:rPr>
        <w:t>经营者集中简易案件公示表</w:t>
      </w:r>
      <w:bookmarkEnd w:id="0"/>
      <w:r>
        <w:rPr>
          <w:rFonts w:hint="eastAsia" w:ascii="黑体" w:hAnsi="黑体" w:eastAsia="黑体" w:cs="Times New Roman"/>
          <w:sz w:val="36"/>
          <w:szCs w:val="36"/>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noWrap w:val="0"/>
            <w:vAlign w:val="top"/>
          </w:tcPr>
          <w:p>
            <w:pPr>
              <w:jc w:val="center"/>
              <w:rPr>
                <w:rFonts w:ascii="宋体" w:hAnsi="宋体" w:eastAsia="宋体" w:cs="Times New Roman"/>
                <w:sz w:val="24"/>
                <w:szCs w:val="24"/>
              </w:rPr>
            </w:pPr>
            <w:r>
              <w:rPr>
                <w:rFonts w:ascii="宋体" w:hAnsi="宋体" w:eastAsia="宋体" w:cs="Times New Roman"/>
                <w:sz w:val="24"/>
                <w:szCs w:val="24"/>
              </w:rPr>
              <w:t>案件名称</w:t>
            </w:r>
          </w:p>
        </w:tc>
        <w:tc>
          <w:tcPr>
            <w:tcW w:w="69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Times New Roman"/>
                <w:sz w:val="24"/>
                <w:szCs w:val="24"/>
              </w:rPr>
            </w:pPr>
            <w:r>
              <w:rPr>
                <w:rFonts w:hint="eastAsia" w:ascii="宋体" w:hAnsi="宋体" w:eastAsia="宋体" w:cs="Times New Roman"/>
                <w:sz w:val="24"/>
                <w:szCs w:val="24"/>
              </w:rPr>
              <w:t>明珠数字科技股份有限公司与上海晓途网络科技有限公司收购珠海横琴平安钱进小额贷款有限公司股权案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trPr>
        <w:tc>
          <w:tcPr>
            <w:tcW w:w="1809" w:type="dxa"/>
            <w:shd w:val="clear" w:color="auto" w:fill="D9D9D9"/>
            <w:noWrap w:val="0"/>
            <w:vAlign w:val="center"/>
          </w:tcPr>
          <w:p>
            <w:pPr>
              <w:jc w:val="center"/>
              <w:rPr>
                <w:rFonts w:ascii="宋体" w:hAnsi="宋体" w:eastAsia="宋体" w:cs="Times New Roman"/>
                <w:sz w:val="24"/>
                <w:szCs w:val="24"/>
              </w:rPr>
            </w:pPr>
            <w:r>
              <w:rPr>
                <w:rFonts w:ascii="宋体" w:hAnsi="宋体" w:eastAsia="宋体" w:cs="Times New Roman"/>
                <w:sz w:val="24"/>
                <w:szCs w:val="24"/>
              </w:rPr>
              <w:t>交易概况（限200字内）</w:t>
            </w:r>
          </w:p>
        </w:tc>
        <w:tc>
          <w:tcPr>
            <w:tcW w:w="6949" w:type="dxa"/>
            <w:gridSpan w:val="2"/>
            <w:noWrap w:val="0"/>
            <w:vAlign w:val="top"/>
          </w:tcPr>
          <w:p>
            <w:pPr>
              <w:widowControl/>
              <w:snapToGrid w:val="0"/>
              <w:spacing w:before="156" w:beforeLines="50"/>
              <w:jc w:val="both"/>
              <w:rPr>
                <w:rFonts w:ascii="宋体" w:hAnsi="宋体" w:eastAsia="宋体" w:cs="Times New Roman"/>
                <w:sz w:val="24"/>
                <w:szCs w:val="24"/>
              </w:rPr>
            </w:pPr>
            <w:r>
              <w:rPr>
                <w:rFonts w:hint="eastAsia" w:ascii="宋体" w:hAnsi="宋体" w:eastAsia="宋体" w:cs="Times New Roman"/>
                <w:sz w:val="24"/>
                <w:szCs w:val="24"/>
              </w:rPr>
              <w:t>明珠数字科技股份有限公司（“明珠数科”）与上海晓途网络科技有限公司（“上海晓途”）、深圳平安金融科技咨询有限公司（“平安金科”）签署协议，明珠数科和上海晓途收购珠海横琴平安钱进小额贷款有限公司（“钱进小贷”）共计1</w:t>
            </w:r>
            <w:r>
              <w:rPr>
                <w:rFonts w:ascii="宋体" w:hAnsi="宋体" w:eastAsia="宋体" w:cs="Times New Roman"/>
                <w:sz w:val="24"/>
                <w:szCs w:val="24"/>
              </w:rPr>
              <w:t>00%</w:t>
            </w:r>
            <w:r>
              <w:rPr>
                <w:rFonts w:hint="eastAsia" w:ascii="宋体" w:hAnsi="宋体" w:eastAsia="宋体" w:cs="Times New Roman"/>
                <w:sz w:val="24"/>
                <w:szCs w:val="24"/>
              </w:rPr>
              <w:t>股份。钱进小贷主要从事网络小额贷款业务。交易前，平安金科持有钱进小贷1</w:t>
            </w:r>
            <w:r>
              <w:rPr>
                <w:rFonts w:ascii="宋体" w:hAnsi="宋体" w:eastAsia="宋体" w:cs="Times New Roman"/>
                <w:sz w:val="24"/>
                <w:szCs w:val="24"/>
              </w:rPr>
              <w:t>00%</w:t>
            </w:r>
            <w:r>
              <w:rPr>
                <w:rFonts w:hint="eastAsia" w:ascii="宋体" w:hAnsi="宋体" w:eastAsia="宋体" w:cs="Times New Roman"/>
                <w:sz w:val="24"/>
                <w:szCs w:val="24"/>
              </w:rPr>
              <w:t>的股份，单独控制钱进小贷。交易后，明珠数科将持有钱进小贷6</w:t>
            </w:r>
            <w:r>
              <w:rPr>
                <w:rFonts w:ascii="宋体" w:hAnsi="宋体" w:eastAsia="宋体" w:cs="Times New Roman"/>
                <w:sz w:val="24"/>
                <w:szCs w:val="24"/>
              </w:rPr>
              <w:t>0</w:t>
            </w:r>
            <w:r>
              <w:rPr>
                <w:rFonts w:hint="eastAsia" w:ascii="宋体" w:hAnsi="宋体" w:eastAsia="宋体" w:cs="Times New Roman"/>
                <w:sz w:val="24"/>
                <w:szCs w:val="24"/>
              </w:rPr>
              <w:t>%的股份，上海晓途将持有钱进小贷4</w:t>
            </w:r>
            <w:r>
              <w:rPr>
                <w:rFonts w:ascii="宋体" w:hAnsi="宋体" w:eastAsia="宋体" w:cs="Times New Roman"/>
                <w:sz w:val="24"/>
                <w:szCs w:val="24"/>
              </w:rPr>
              <w:t>0%</w:t>
            </w:r>
            <w:r>
              <w:rPr>
                <w:rFonts w:hint="eastAsia" w:ascii="宋体" w:hAnsi="宋体" w:eastAsia="宋体" w:cs="Times New Roman"/>
                <w:sz w:val="24"/>
                <w:szCs w:val="24"/>
              </w:rPr>
              <w:t>的股份，明珠数科、上海晓途共同控制钱进小贷。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exact"/>
        </w:trPr>
        <w:tc>
          <w:tcPr>
            <w:tcW w:w="1809" w:type="dxa"/>
            <w:vMerge w:val="restart"/>
            <w:shd w:val="clear" w:color="auto" w:fill="D9D9D9"/>
            <w:noWrap w:val="0"/>
            <w:vAlign w:val="center"/>
          </w:tcPr>
          <w:p>
            <w:pPr>
              <w:jc w:val="center"/>
              <w:rPr>
                <w:rFonts w:ascii="宋体" w:hAnsi="宋体" w:eastAsia="宋体" w:cs="Times New Roman"/>
                <w:sz w:val="24"/>
                <w:szCs w:val="24"/>
              </w:rPr>
            </w:pPr>
            <w:r>
              <w:rPr>
                <w:rFonts w:ascii="宋体" w:hAnsi="宋体" w:eastAsia="宋体" w:cs="Times New Roman"/>
                <w:sz w:val="24"/>
                <w:szCs w:val="24"/>
              </w:rPr>
              <w:t>参与集中的经营者简介</w:t>
            </w:r>
            <w:r>
              <w:rPr>
                <w:rFonts w:hint="eastAsia" w:ascii="宋体" w:hAnsi="宋体" w:eastAsia="宋体" w:cs="宋体"/>
                <w:bCs/>
                <w:color w:val="000000"/>
                <w:sz w:val="24"/>
                <w:szCs w:val="24"/>
                <w:lang w:val="en-GB"/>
              </w:rPr>
              <w:t>（每个限</w:t>
            </w:r>
            <w:r>
              <w:rPr>
                <w:rFonts w:hint="eastAsia" w:ascii="宋体" w:hAnsi="宋体" w:eastAsia="宋体" w:cs="宋体"/>
                <w:bCs/>
                <w:color w:val="000000"/>
                <w:sz w:val="24"/>
                <w:szCs w:val="24"/>
              </w:rPr>
              <w:t>100字以内</w:t>
            </w:r>
            <w:r>
              <w:rPr>
                <w:rFonts w:hint="eastAsia" w:ascii="宋体" w:hAnsi="宋体" w:eastAsia="宋体" w:cs="宋体"/>
                <w:bCs/>
                <w:color w:val="000000"/>
                <w:sz w:val="24"/>
                <w:szCs w:val="24"/>
                <w:lang w:val="en-GB"/>
              </w:rPr>
              <w:t>）</w:t>
            </w:r>
          </w:p>
        </w:tc>
        <w:tc>
          <w:tcPr>
            <w:tcW w:w="1796" w:type="dxa"/>
            <w:noWrap w:val="0"/>
            <w:vAlign w:val="top"/>
          </w:tcPr>
          <w:p>
            <w:pPr>
              <w:pStyle w:val="7"/>
              <w:numPr>
                <w:ilvl w:val="0"/>
                <w:numId w:val="2"/>
              </w:numPr>
              <w:ind w:firstLineChars="0"/>
              <w:rPr>
                <w:rFonts w:ascii="宋体" w:hAnsi="宋体" w:eastAsia="宋体" w:cs="Times New Roman"/>
                <w:sz w:val="24"/>
                <w:szCs w:val="24"/>
              </w:rPr>
            </w:pPr>
            <w:r>
              <w:rPr>
                <w:rFonts w:hint="eastAsia" w:ascii="宋体" w:hAnsi="宋体" w:eastAsia="宋体" w:cs="Times New Roman"/>
                <w:sz w:val="24"/>
                <w:szCs w:val="24"/>
              </w:rPr>
              <w:t>明珠数科</w:t>
            </w:r>
          </w:p>
          <w:p>
            <w:pPr>
              <w:rPr>
                <w:rFonts w:ascii="宋体" w:hAnsi="宋体" w:eastAsia="宋体" w:cs="Times New Roman"/>
                <w:sz w:val="24"/>
                <w:szCs w:val="24"/>
              </w:rPr>
            </w:pPr>
          </w:p>
        </w:tc>
        <w:tc>
          <w:tcPr>
            <w:tcW w:w="5153" w:type="dxa"/>
            <w:noWrap w:val="0"/>
            <w:vAlign w:val="top"/>
          </w:tcPr>
          <w:p>
            <w:pPr>
              <w:widowControl/>
              <w:snapToGrid w:val="0"/>
              <w:jc w:val="left"/>
              <w:rPr>
                <w:rFonts w:ascii="宋体" w:hAnsi="宋体" w:eastAsia="宋体" w:cs="Times New Roman"/>
                <w:sz w:val="24"/>
                <w:szCs w:val="24"/>
              </w:rPr>
            </w:pPr>
            <w:r>
              <w:rPr>
                <w:rFonts w:hint="eastAsia" w:ascii="宋体" w:hAnsi="宋体" w:eastAsia="宋体" w:cs="Times New Roman"/>
                <w:sz w:val="24"/>
                <w:szCs w:val="24"/>
              </w:rPr>
              <w:t>明珠数科于2</w:t>
            </w:r>
            <w:r>
              <w:rPr>
                <w:rFonts w:ascii="宋体" w:hAnsi="宋体" w:eastAsia="宋体" w:cs="Times New Roman"/>
                <w:sz w:val="24"/>
                <w:szCs w:val="24"/>
              </w:rPr>
              <w:t>020</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月1</w:t>
            </w:r>
            <w:r>
              <w:rPr>
                <w:rFonts w:ascii="宋体" w:hAnsi="宋体" w:eastAsia="宋体" w:cs="Times New Roman"/>
                <w:sz w:val="24"/>
                <w:szCs w:val="24"/>
              </w:rPr>
              <w:t>1</w:t>
            </w:r>
            <w:r>
              <w:rPr>
                <w:rFonts w:hint="eastAsia" w:ascii="宋体" w:hAnsi="宋体" w:eastAsia="宋体" w:cs="Times New Roman"/>
                <w:sz w:val="24"/>
                <w:szCs w:val="24"/>
              </w:rPr>
              <w:t>日成立于中国广东省，主要业务为供应链金融、消费金融、财富管理、权益运营等业务。</w:t>
            </w:r>
          </w:p>
          <w:p>
            <w:pPr>
              <w:widowControl/>
              <w:snapToGrid w:val="0"/>
              <w:jc w:val="left"/>
              <w:rPr>
                <w:rFonts w:ascii="宋体" w:hAnsi="宋体" w:eastAsia="宋体" w:cs="Times New Roman"/>
                <w:sz w:val="24"/>
                <w:szCs w:val="24"/>
              </w:rPr>
            </w:pPr>
            <w:r>
              <w:rPr>
                <w:rFonts w:hint="eastAsia" w:ascii="宋体" w:hAnsi="宋体" w:eastAsia="宋体" w:cs="Times New Roman"/>
                <w:sz w:val="24"/>
                <w:szCs w:val="24"/>
              </w:rPr>
              <w:t>明珠数科的最终控制人为中国南方航空集团有限公司，主要业务为通过控股的南航股份从事航空运输服务。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exact"/>
        </w:trPr>
        <w:tc>
          <w:tcPr>
            <w:tcW w:w="1809" w:type="dxa"/>
            <w:vMerge w:val="continue"/>
            <w:shd w:val="clear" w:color="auto" w:fill="D9D9D9"/>
            <w:noWrap w:val="0"/>
            <w:vAlign w:val="top"/>
          </w:tcPr>
          <w:p>
            <w:pPr>
              <w:jc w:val="center"/>
              <w:rPr>
                <w:rFonts w:ascii="宋体" w:hAnsi="宋体" w:eastAsia="宋体" w:cs="Times New Roman"/>
                <w:sz w:val="24"/>
                <w:szCs w:val="24"/>
              </w:rPr>
            </w:pPr>
          </w:p>
        </w:tc>
        <w:tc>
          <w:tcPr>
            <w:tcW w:w="1796" w:type="dxa"/>
            <w:noWrap w:val="0"/>
            <w:vAlign w:val="top"/>
          </w:tcPr>
          <w:p>
            <w:pPr>
              <w:pStyle w:val="7"/>
              <w:numPr>
                <w:ilvl w:val="0"/>
                <w:numId w:val="2"/>
              </w:numPr>
              <w:ind w:firstLineChars="0"/>
              <w:rPr>
                <w:rFonts w:ascii="宋体" w:hAnsi="宋体" w:eastAsia="宋体" w:cs="Times New Roman"/>
                <w:sz w:val="24"/>
                <w:szCs w:val="24"/>
              </w:rPr>
            </w:pPr>
            <w:r>
              <w:rPr>
                <w:rFonts w:hint="eastAsia" w:ascii="宋体" w:hAnsi="宋体" w:eastAsia="宋体" w:cs="Times New Roman"/>
                <w:sz w:val="24"/>
                <w:szCs w:val="24"/>
              </w:rPr>
              <w:t>上海晓途</w:t>
            </w:r>
          </w:p>
        </w:tc>
        <w:tc>
          <w:tcPr>
            <w:tcW w:w="5153" w:type="dxa"/>
            <w:noWrap w:val="0"/>
            <w:vAlign w:val="top"/>
          </w:tcPr>
          <w:p>
            <w:pPr>
              <w:snapToGrid w:val="0"/>
              <w:jc w:val="left"/>
              <w:rPr>
                <w:rFonts w:ascii="宋体" w:hAnsi="宋体" w:eastAsia="宋体" w:cs="Times New Roman"/>
                <w:sz w:val="24"/>
                <w:szCs w:val="24"/>
              </w:rPr>
            </w:pPr>
            <w:r>
              <w:rPr>
                <w:rFonts w:hint="eastAsia" w:ascii="宋体" w:hAnsi="宋体" w:eastAsia="宋体" w:cs="Times New Roman"/>
                <w:sz w:val="24"/>
                <w:szCs w:val="24"/>
              </w:rPr>
              <w:t>上海晓途于2</w:t>
            </w:r>
            <w:r>
              <w:rPr>
                <w:rFonts w:ascii="宋体" w:hAnsi="宋体" w:eastAsia="宋体" w:cs="Times New Roman"/>
                <w:sz w:val="24"/>
                <w:szCs w:val="24"/>
              </w:rPr>
              <w:t>015</w:t>
            </w:r>
            <w:r>
              <w:rPr>
                <w:rFonts w:hint="eastAsia" w:ascii="宋体" w:hAnsi="宋体" w:eastAsia="宋体" w:cs="Times New Roman"/>
                <w:sz w:val="24"/>
                <w:szCs w:val="24"/>
              </w:rPr>
              <w:t>年1月2</w:t>
            </w:r>
            <w:r>
              <w:rPr>
                <w:rFonts w:ascii="宋体" w:hAnsi="宋体" w:eastAsia="宋体" w:cs="Times New Roman"/>
                <w:sz w:val="24"/>
                <w:szCs w:val="24"/>
              </w:rPr>
              <w:t>2</w:t>
            </w:r>
            <w:r>
              <w:rPr>
                <w:rFonts w:hint="eastAsia" w:ascii="宋体" w:hAnsi="宋体" w:eastAsia="宋体" w:cs="Times New Roman"/>
                <w:sz w:val="24"/>
                <w:szCs w:val="24"/>
              </w:rPr>
              <w:t>日成立于中国上海市，主要业务为从事航旅金融科技服务，为航旅用户提供授信服务和金融科技服务便利。</w:t>
            </w:r>
          </w:p>
          <w:p>
            <w:pPr>
              <w:snapToGrid w:val="0"/>
              <w:jc w:val="left"/>
              <w:rPr>
                <w:rFonts w:ascii="宋体" w:hAnsi="宋体" w:eastAsia="宋体" w:cs="Times New Roman"/>
                <w:sz w:val="24"/>
                <w:szCs w:val="24"/>
              </w:rPr>
            </w:pPr>
            <w:r>
              <w:rPr>
                <w:rFonts w:hint="eastAsia" w:ascii="宋体" w:hAnsi="宋体" w:eastAsia="宋体" w:cs="Times New Roman"/>
                <w:sz w:val="24"/>
                <w:szCs w:val="24"/>
              </w:rPr>
              <w:t>上海晓途的最终控制人为自然人，主要业务为航旅金融科技服等行业投资。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exact"/>
        </w:trPr>
        <w:tc>
          <w:tcPr>
            <w:tcW w:w="1809" w:type="dxa"/>
            <w:vMerge w:val="continue"/>
            <w:shd w:val="clear" w:color="auto" w:fill="D9D9D9"/>
            <w:noWrap w:val="0"/>
            <w:vAlign w:val="top"/>
          </w:tcPr>
          <w:p>
            <w:pPr>
              <w:jc w:val="center"/>
              <w:rPr>
                <w:rFonts w:ascii="宋体" w:hAnsi="宋体" w:eastAsia="宋体" w:cs="Times New Roman"/>
                <w:sz w:val="24"/>
                <w:szCs w:val="24"/>
              </w:rPr>
            </w:pPr>
          </w:p>
        </w:tc>
        <w:tc>
          <w:tcPr>
            <w:tcW w:w="1796" w:type="dxa"/>
            <w:noWrap w:val="0"/>
            <w:vAlign w:val="top"/>
          </w:tcPr>
          <w:p>
            <w:pPr>
              <w:pStyle w:val="7"/>
              <w:numPr>
                <w:ilvl w:val="0"/>
                <w:numId w:val="2"/>
              </w:numPr>
              <w:ind w:firstLineChars="0"/>
              <w:rPr>
                <w:rFonts w:ascii="宋体" w:hAnsi="宋体" w:eastAsia="宋体" w:cs="Times New Roman"/>
                <w:sz w:val="24"/>
                <w:szCs w:val="24"/>
              </w:rPr>
            </w:pPr>
            <w:r>
              <w:rPr>
                <w:rFonts w:hint="eastAsia" w:ascii="宋体" w:hAnsi="宋体" w:eastAsia="宋体" w:cs="Times New Roman"/>
                <w:sz w:val="24"/>
                <w:szCs w:val="24"/>
              </w:rPr>
              <w:t>钱进小贷</w:t>
            </w:r>
          </w:p>
        </w:tc>
        <w:tc>
          <w:tcPr>
            <w:tcW w:w="5153" w:type="dxa"/>
            <w:noWrap w:val="0"/>
            <w:vAlign w:val="top"/>
          </w:tcPr>
          <w:p>
            <w:pPr>
              <w:snapToGrid w:val="0"/>
              <w:jc w:val="left"/>
              <w:rPr>
                <w:rFonts w:ascii="宋体" w:hAnsi="宋体" w:eastAsia="宋体" w:cs="Times New Roman"/>
                <w:sz w:val="24"/>
                <w:szCs w:val="24"/>
              </w:rPr>
            </w:pPr>
            <w:r>
              <w:rPr>
                <w:rFonts w:hint="eastAsia" w:ascii="宋体" w:hAnsi="宋体" w:eastAsia="宋体" w:cs="Times New Roman"/>
                <w:sz w:val="24"/>
                <w:szCs w:val="24"/>
              </w:rPr>
              <w:t>钱进小贷于2</w:t>
            </w:r>
            <w:r>
              <w:rPr>
                <w:rFonts w:ascii="宋体" w:hAnsi="宋体" w:eastAsia="宋体" w:cs="Times New Roman"/>
                <w:sz w:val="24"/>
                <w:szCs w:val="24"/>
              </w:rPr>
              <w:t>016</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日成立于中国广东省，主要业务为网络小额贷款业务。</w:t>
            </w:r>
          </w:p>
          <w:p>
            <w:pPr>
              <w:snapToGrid w:val="0"/>
              <w:jc w:val="left"/>
              <w:rPr>
                <w:rFonts w:ascii="宋体" w:hAnsi="宋体" w:eastAsia="宋体" w:cs="Times New Roman"/>
                <w:sz w:val="24"/>
                <w:szCs w:val="24"/>
              </w:rPr>
            </w:pPr>
            <w:r>
              <w:rPr>
                <w:rFonts w:hint="eastAsia" w:ascii="宋体" w:hAnsi="宋体" w:eastAsia="宋体" w:cs="Times New Roman"/>
                <w:sz w:val="24"/>
                <w:szCs w:val="24"/>
              </w:rPr>
              <w:t>钱进小贷的最终控制人为中国平安保险（集团）股份有限公司，主要业务为以保险为核心的，包括证券、信托、银行、资产管理、企业年金等服务的综合金融服务。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noWrap w:val="0"/>
            <w:vAlign w:val="top"/>
          </w:tcPr>
          <w:p>
            <w:pPr>
              <w:jc w:val="center"/>
              <w:rPr>
                <w:rFonts w:ascii="宋体" w:hAnsi="宋体" w:eastAsia="宋体" w:cs="Times New Roman"/>
                <w:sz w:val="24"/>
                <w:szCs w:val="24"/>
              </w:rPr>
            </w:pPr>
            <w:r>
              <w:rPr>
                <w:rFonts w:ascii="宋体" w:hAnsi="宋体" w:eastAsia="宋体" w:cs="Times New Roman"/>
                <w:sz w:val="24"/>
                <w:szCs w:val="24"/>
              </w:rPr>
              <w:t>简易案件理由（可以单选，也可以多选）</w:t>
            </w:r>
          </w:p>
        </w:tc>
        <w:tc>
          <w:tcPr>
            <w:tcW w:w="6949" w:type="dxa"/>
            <w:gridSpan w:val="2"/>
            <w:noWrap w:val="0"/>
            <w:vAlign w:val="top"/>
          </w:tcPr>
          <w:p>
            <w:pPr>
              <w:ind w:firstLine="240" w:firstLineChars="100"/>
              <w:rPr>
                <w:rFonts w:ascii="宋体" w:hAnsi="宋体" w:eastAsia="宋体" w:cs="Times New Roman"/>
                <w:sz w:val="24"/>
                <w:szCs w:val="24"/>
              </w:rPr>
            </w:pPr>
            <w:r>
              <w:rPr>
                <w:rFonts w:ascii="宋体" w:hAnsi="宋体" w:eastAsia="宋体" w:cs="Times New Roman"/>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noWrap w:val="0"/>
            <w:vAlign w:val="top"/>
          </w:tcPr>
          <w:p>
            <w:pPr>
              <w:jc w:val="center"/>
              <w:rPr>
                <w:rFonts w:ascii="宋体" w:hAnsi="宋体" w:eastAsia="宋体" w:cs="Times New Roman"/>
                <w:sz w:val="24"/>
                <w:szCs w:val="24"/>
              </w:rPr>
            </w:pPr>
          </w:p>
        </w:tc>
        <w:tc>
          <w:tcPr>
            <w:tcW w:w="6949" w:type="dxa"/>
            <w:gridSpan w:val="2"/>
            <w:noWrap w:val="0"/>
            <w:vAlign w:val="top"/>
          </w:tcPr>
          <w:p>
            <w:pPr>
              <w:rPr>
                <w:rFonts w:ascii="宋体" w:hAnsi="宋体" w:eastAsia="宋体" w:cs="Times New Roman"/>
                <w:sz w:val="24"/>
                <w:szCs w:val="24"/>
              </w:rPr>
            </w:pPr>
            <w:r>
              <w:rPr>
                <w:rFonts w:hint="default" w:ascii="Times New Roman" w:hAnsi="Times New Roman" w:eastAsia="宋体" w:cs="Times New Roman"/>
                <w:sz w:val="24"/>
                <w:szCs w:val="24"/>
              </w:rPr>
              <w:t>√</w:t>
            </w:r>
            <w:r>
              <w:rPr>
                <w:rFonts w:ascii="宋体" w:hAnsi="宋体" w:eastAsia="宋体" w:cs="Times New Roman"/>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noWrap w:val="0"/>
            <w:vAlign w:val="top"/>
          </w:tcPr>
          <w:p>
            <w:pPr>
              <w:jc w:val="center"/>
              <w:rPr>
                <w:rFonts w:ascii="宋体" w:hAnsi="宋体" w:eastAsia="宋体" w:cs="Times New Roman"/>
                <w:sz w:val="24"/>
                <w:szCs w:val="24"/>
              </w:rPr>
            </w:pPr>
          </w:p>
        </w:tc>
        <w:tc>
          <w:tcPr>
            <w:tcW w:w="6949" w:type="dxa"/>
            <w:gridSpan w:val="2"/>
            <w:noWrap w:val="0"/>
            <w:vAlign w:val="top"/>
          </w:tcPr>
          <w:p>
            <w:pPr>
              <w:ind w:firstLine="240" w:firstLineChars="100"/>
              <w:rPr>
                <w:rFonts w:ascii="宋体" w:hAnsi="宋体" w:eastAsia="宋体" w:cs="Times New Roman"/>
                <w:sz w:val="24"/>
                <w:szCs w:val="24"/>
              </w:rPr>
            </w:pPr>
            <w:r>
              <w:rPr>
                <w:rFonts w:ascii="宋体" w:hAnsi="宋体" w:eastAsia="宋体" w:cs="Times New Roman"/>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noWrap w:val="0"/>
            <w:vAlign w:val="top"/>
          </w:tcPr>
          <w:p>
            <w:pPr>
              <w:jc w:val="center"/>
              <w:rPr>
                <w:rFonts w:ascii="宋体" w:hAnsi="宋体" w:eastAsia="宋体" w:cs="Times New Roman"/>
                <w:sz w:val="24"/>
                <w:szCs w:val="24"/>
              </w:rPr>
            </w:pPr>
          </w:p>
        </w:tc>
        <w:tc>
          <w:tcPr>
            <w:tcW w:w="6949" w:type="dxa"/>
            <w:gridSpan w:val="2"/>
            <w:noWrap w:val="0"/>
            <w:vAlign w:val="top"/>
          </w:tcPr>
          <w:p>
            <w:pPr>
              <w:ind w:firstLine="240" w:firstLineChars="100"/>
              <w:rPr>
                <w:rFonts w:ascii="宋体" w:hAnsi="宋体" w:eastAsia="宋体" w:cs="Times New Roman"/>
                <w:sz w:val="24"/>
                <w:szCs w:val="24"/>
              </w:rPr>
            </w:pPr>
            <w:r>
              <w:rPr>
                <w:rFonts w:ascii="宋体" w:hAnsi="宋体" w:eastAsia="宋体" w:cs="Times New Roman"/>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noWrap w:val="0"/>
            <w:vAlign w:val="top"/>
          </w:tcPr>
          <w:p>
            <w:pPr>
              <w:jc w:val="center"/>
              <w:rPr>
                <w:rFonts w:ascii="宋体" w:hAnsi="宋体" w:eastAsia="宋体" w:cs="Times New Roman"/>
                <w:sz w:val="24"/>
                <w:szCs w:val="24"/>
              </w:rPr>
            </w:pPr>
          </w:p>
        </w:tc>
        <w:tc>
          <w:tcPr>
            <w:tcW w:w="6949" w:type="dxa"/>
            <w:gridSpan w:val="2"/>
            <w:noWrap w:val="0"/>
            <w:vAlign w:val="top"/>
          </w:tcPr>
          <w:p>
            <w:pPr>
              <w:ind w:firstLine="240" w:firstLineChars="100"/>
              <w:rPr>
                <w:rFonts w:ascii="宋体" w:hAnsi="宋体" w:eastAsia="宋体" w:cs="Times New Roman"/>
                <w:sz w:val="24"/>
                <w:szCs w:val="24"/>
              </w:rPr>
            </w:pPr>
            <w:r>
              <w:rPr>
                <w:rFonts w:ascii="宋体" w:hAnsi="宋体" w:eastAsia="宋体" w:cs="Times New Roman"/>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noWrap w:val="0"/>
            <w:vAlign w:val="top"/>
          </w:tcPr>
          <w:p>
            <w:pPr>
              <w:jc w:val="center"/>
              <w:rPr>
                <w:rFonts w:ascii="宋体" w:hAnsi="宋体" w:eastAsia="宋体" w:cs="Times New Roman"/>
                <w:sz w:val="24"/>
                <w:szCs w:val="24"/>
              </w:rPr>
            </w:pPr>
          </w:p>
        </w:tc>
        <w:tc>
          <w:tcPr>
            <w:tcW w:w="6949" w:type="dxa"/>
            <w:gridSpan w:val="2"/>
            <w:noWrap w:val="0"/>
            <w:vAlign w:val="top"/>
          </w:tcPr>
          <w:p>
            <w:pPr>
              <w:ind w:firstLine="240" w:firstLineChars="100"/>
              <w:rPr>
                <w:rFonts w:ascii="宋体" w:hAnsi="宋体" w:eastAsia="宋体" w:cs="Times New Roman"/>
                <w:sz w:val="24"/>
                <w:szCs w:val="24"/>
              </w:rPr>
            </w:pPr>
            <w:r>
              <w:rPr>
                <w:rFonts w:ascii="宋体" w:hAnsi="宋体" w:eastAsia="宋体" w:cs="Times New Roman"/>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noWrap w:val="0"/>
            <w:vAlign w:val="top"/>
          </w:tcPr>
          <w:p>
            <w:pPr>
              <w:jc w:val="center"/>
              <w:rPr>
                <w:rFonts w:ascii="宋体" w:hAnsi="宋体" w:eastAsia="宋体" w:cs="Times New Roman"/>
                <w:sz w:val="24"/>
                <w:szCs w:val="24"/>
              </w:rPr>
            </w:pPr>
            <w:r>
              <w:rPr>
                <w:rFonts w:ascii="宋体" w:hAnsi="宋体" w:eastAsia="宋体" w:cs="Times New Roman"/>
                <w:sz w:val="24"/>
                <w:szCs w:val="24"/>
              </w:rPr>
              <w:t>备注</w:t>
            </w:r>
          </w:p>
        </w:tc>
        <w:tc>
          <w:tcPr>
            <w:tcW w:w="6949" w:type="dxa"/>
            <w:gridSpan w:val="2"/>
            <w:noWrap w:val="0"/>
            <w:vAlign w:val="top"/>
          </w:tcPr>
          <w:p>
            <w:pPr>
              <w:rPr>
                <w:rFonts w:ascii="宋体" w:hAnsi="宋体" w:eastAsia="宋体" w:cs="Times New Roman"/>
                <w:b/>
                <w:bCs/>
                <w:sz w:val="24"/>
                <w:szCs w:val="24"/>
              </w:rPr>
            </w:pPr>
            <w:r>
              <w:rPr>
                <w:rFonts w:hint="eastAsia" w:ascii="宋体" w:hAnsi="宋体" w:eastAsia="宋体" w:cs="Times New Roman"/>
                <w:b/>
                <w:bCs/>
                <w:sz w:val="24"/>
                <w:szCs w:val="24"/>
              </w:rPr>
              <w:t>纵向关联：</w:t>
            </w:r>
          </w:p>
          <w:p>
            <w:pPr>
              <w:rPr>
                <w:rFonts w:ascii="宋体" w:hAnsi="宋体" w:eastAsia="宋体" w:cs="Times New Roman"/>
                <w:sz w:val="24"/>
                <w:szCs w:val="24"/>
              </w:rPr>
            </w:pPr>
            <w:r>
              <w:rPr>
                <w:rFonts w:hint="eastAsia" w:ascii="宋体" w:hAnsi="宋体" w:eastAsia="宋体" w:cs="Times New Roman"/>
                <w:sz w:val="24"/>
                <w:szCs w:val="24"/>
              </w:rPr>
              <w:t>上游：202</w:t>
            </w:r>
            <w:r>
              <w:rPr>
                <w:rFonts w:ascii="宋体" w:hAnsi="宋体" w:eastAsia="宋体" w:cs="Times New Roman"/>
                <w:sz w:val="24"/>
                <w:szCs w:val="24"/>
              </w:rPr>
              <w:t>1</w:t>
            </w:r>
            <w:r>
              <w:rPr>
                <w:rFonts w:hint="eastAsia" w:ascii="宋体" w:hAnsi="宋体" w:eastAsia="宋体" w:cs="Times New Roman"/>
                <w:sz w:val="24"/>
                <w:szCs w:val="24"/>
              </w:rPr>
              <w:t>年中国境内网络小额贷款市场</w:t>
            </w:r>
          </w:p>
          <w:p>
            <w:pPr>
              <w:rPr>
                <w:rFonts w:ascii="宋体" w:hAnsi="宋体" w:eastAsia="宋体" w:cs="Times New Roman"/>
                <w:sz w:val="24"/>
                <w:szCs w:val="24"/>
              </w:rPr>
            </w:pPr>
            <w:r>
              <w:rPr>
                <w:rFonts w:hint="eastAsia" w:ascii="宋体" w:hAnsi="宋体" w:eastAsia="宋体" w:cs="Times New Roman"/>
                <w:sz w:val="24"/>
                <w:szCs w:val="24"/>
              </w:rPr>
              <w:t>钱进小贷：0</w:t>
            </w:r>
            <w:r>
              <w:rPr>
                <w:rFonts w:ascii="宋体" w:hAnsi="宋体" w:eastAsia="宋体" w:cs="Times New Roman"/>
                <w:sz w:val="24"/>
                <w:szCs w:val="24"/>
              </w:rPr>
              <w:t>-5%</w:t>
            </w:r>
          </w:p>
          <w:p>
            <w:pPr>
              <w:rPr>
                <w:rFonts w:ascii="宋体" w:hAnsi="宋体" w:eastAsia="宋体" w:cs="Times New Roman"/>
                <w:sz w:val="24"/>
                <w:szCs w:val="24"/>
              </w:rPr>
            </w:pPr>
            <w:r>
              <w:rPr>
                <w:rFonts w:hint="eastAsia" w:ascii="宋体" w:hAnsi="宋体" w:eastAsia="宋体" w:cs="Times New Roman"/>
                <w:sz w:val="24"/>
                <w:szCs w:val="24"/>
              </w:rPr>
              <w:t>下游：2</w:t>
            </w:r>
            <w:r>
              <w:rPr>
                <w:rFonts w:ascii="宋体" w:hAnsi="宋体" w:eastAsia="宋体" w:cs="Times New Roman"/>
                <w:sz w:val="24"/>
                <w:szCs w:val="24"/>
              </w:rPr>
              <w:t>021</w:t>
            </w:r>
            <w:r>
              <w:rPr>
                <w:rFonts w:hint="eastAsia" w:ascii="宋体" w:hAnsi="宋体" w:eastAsia="宋体" w:cs="Times New Roman"/>
                <w:sz w:val="24"/>
                <w:szCs w:val="24"/>
              </w:rPr>
              <w:t>年中国境内分期电商市场</w:t>
            </w:r>
          </w:p>
          <w:p>
            <w:pPr>
              <w:rPr>
                <w:rFonts w:ascii="宋体" w:hAnsi="宋体" w:eastAsia="宋体" w:cs="Times New Roman"/>
                <w:sz w:val="24"/>
                <w:szCs w:val="24"/>
              </w:rPr>
            </w:pPr>
            <w:r>
              <w:rPr>
                <w:rFonts w:hint="eastAsia" w:ascii="宋体" w:hAnsi="宋体" w:eastAsia="宋体" w:cs="Times New Roman"/>
                <w:sz w:val="24"/>
                <w:szCs w:val="24"/>
              </w:rPr>
              <w:t>明珠数科：0</w:t>
            </w:r>
            <w:r>
              <w:rPr>
                <w:rFonts w:ascii="宋体" w:hAnsi="宋体" w:eastAsia="宋体" w:cs="Times New Roman"/>
                <w:sz w:val="24"/>
                <w:szCs w:val="24"/>
              </w:rPr>
              <w:t>-5%</w:t>
            </w:r>
            <w:r>
              <w:rPr>
                <w:rFonts w:hint="eastAsia" w:ascii="宋体" w:hAnsi="宋体" w:eastAsia="宋体" w:cs="Times New Roman"/>
                <w:sz w:val="24"/>
                <w:szCs w:val="24"/>
              </w:rPr>
              <w:t>，上海晓途：0-5%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0DCC"/>
    <w:multiLevelType w:val="multilevel"/>
    <w:tmpl w:val="53650D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F2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3"/>
    <w:next w:val="1"/>
    <w:qFormat/>
    <w:uiPriority w:val="0"/>
    <w:pPr>
      <w:keepNext/>
      <w:keepLines/>
      <w:numPr>
        <w:ilvl w:val="0"/>
        <w:numId w:val="1"/>
      </w:numPr>
      <w:outlineLvl w:val="0"/>
    </w:pPr>
    <w:rPr>
      <w:rFonts w:eastAsia="黑体"/>
      <w:bCs/>
      <w:kern w:val="44"/>
      <w:sz w:val="30"/>
      <w:szCs w:val="4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3">
    <w:name w:val="名称2"/>
    <w:basedOn w:val="4"/>
    <w:qFormat/>
    <w:uiPriority w:val="0"/>
    <w:pPr>
      <w:spacing w:after="312" w:afterLines="100"/>
    </w:pPr>
    <w:rPr>
      <w:b w:val="0"/>
      <w:sz w:val="20"/>
    </w:rPr>
  </w:style>
  <w:style w:type="paragraph" w:customStyle="1" w:styleId="4">
    <w:name w:val="名称"/>
    <w:basedOn w:val="1"/>
    <w:qFormat/>
    <w:uiPriority w:val="0"/>
    <w:pPr>
      <w:jc w:val="center"/>
    </w:pPr>
    <w:rPr>
      <w:b/>
      <w:kern w:val="0"/>
      <w:sz w:val="44"/>
      <w:szCs w:val="20"/>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2022-11-14T14:35:01Z</dcterms:created>
  <dc:creator>ljjroo</dc:creator>
  <cp:lastModifiedBy>ljjroo</cp:lastModifiedBy>
  <dcterms:modified xsi:type="dcterms:W3CDTF">2022-11-14T14:36:05Z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