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spacing w:line="429" w:lineRule="exact"/>
        <w:jc w:val="center"/>
        <w:rPr>
          <w:rFonts w:ascii="黑体" w:hAnsi="黑体" w:eastAsia="黑体" w:cs="Times New Roman"/>
          <w:kern w:val="0"/>
          <w:sz w:val="20"/>
          <w:szCs w:val="20"/>
        </w:rPr>
      </w:pPr>
      <w:r>
        <w:rPr>
          <w:rFonts w:ascii="黑体" w:hAnsi="黑体" w:eastAsia="黑体" w:cs="Arial Unicode MS"/>
          <w:kern w:val="0"/>
          <w:sz w:val="32"/>
          <w:szCs w:val="32"/>
        </w:rPr>
        <w:t xml:space="preserve">《保健食品原料目录 </w:t>
      </w:r>
      <w:r>
        <w:rPr>
          <w:rFonts w:hint="eastAsia" w:ascii="黑体" w:hAnsi="黑体" w:eastAsia="黑体" w:cs="Arial Unicode MS"/>
          <w:kern w:val="0"/>
          <w:sz w:val="32"/>
          <w:szCs w:val="32"/>
        </w:rPr>
        <w:t>西洋参</w:t>
      </w:r>
      <w:r>
        <w:rPr>
          <w:rFonts w:hint="eastAsia" w:ascii="黑体" w:hAnsi="黑体" w:eastAsia="黑体" w:cs="Arial Unicode MS"/>
          <w:kern w:val="0"/>
          <w:sz w:val="32"/>
          <w:szCs w:val="32"/>
          <w:lang w:eastAsia="zh-CN"/>
        </w:rPr>
        <w:t>（征求意见稿）</w:t>
      </w:r>
      <w:r>
        <w:rPr>
          <w:rFonts w:ascii="黑体" w:hAnsi="黑体" w:eastAsia="黑体" w:cs="Arial Unicode MS"/>
          <w:kern w:val="0"/>
          <w:sz w:val="32"/>
          <w:szCs w:val="32"/>
        </w:rPr>
        <w:t>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835"/>
        <w:gridCol w:w="2409"/>
        <w:gridCol w:w="2410"/>
        <w:gridCol w:w="283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55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原料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10489" w:type="dxa"/>
            <w:gridSpan w:val="4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每日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用量</w:t>
            </w:r>
          </w:p>
        </w:tc>
        <w:tc>
          <w:tcPr>
            <w:tcW w:w="1843" w:type="dxa"/>
            <w:vMerge w:val="restart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功效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55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用量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范围</w:t>
            </w:r>
          </w:p>
        </w:tc>
        <w:tc>
          <w:tcPr>
            <w:tcW w:w="2409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适宜人群</w:t>
            </w:r>
          </w:p>
        </w:tc>
        <w:tc>
          <w:tcPr>
            <w:tcW w:w="2410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不适宜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人</w:t>
            </w: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群</w:t>
            </w: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注意事项</w:t>
            </w:r>
          </w:p>
        </w:tc>
        <w:tc>
          <w:tcPr>
            <w:tcW w:w="1843" w:type="dxa"/>
            <w:vMerge w:val="continue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55" w:type="dxa"/>
            <w:vMerge w:val="restar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西洋参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1.5-3g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9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易疲劳者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少年儿童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、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孕妇、乳母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湿热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体质、阳虚体质者</w:t>
            </w:r>
          </w:p>
        </w:tc>
        <w:tc>
          <w:tcPr>
            <w:tcW w:w="2835" w:type="dxa"/>
            <w:vMerge w:val="restar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不宜与含有藜芦的中成药同用。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感冒、舌苔厚腻者不推荐使用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缓解体力疲劳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55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9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免疫力低下者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增强免疫力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kern w:val="0"/>
          <w:sz w:val="22"/>
          <w:szCs w:val="22"/>
        </w:rPr>
      </w:pPr>
    </w:p>
    <w:p>
      <w:pPr>
        <w:widowControl/>
        <w:jc w:val="left"/>
        <w:rPr>
          <w:rFonts w:ascii="Times New Roman" w:hAnsi="Times New Roman" w:cs="Times New Roman"/>
          <w:kern w:val="0"/>
          <w:sz w:val="22"/>
          <w:szCs w:val="22"/>
        </w:rPr>
      </w:pPr>
    </w:p>
    <w:p>
      <w:pPr>
        <w:widowControl/>
        <w:jc w:val="left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kern w:val="0"/>
          <w:sz w:val="22"/>
          <w:szCs w:val="22"/>
        </w:rPr>
        <w:br w:type="page"/>
      </w:r>
    </w:p>
    <w:p>
      <w:pPr>
        <w:widowControl/>
        <w:spacing w:line="118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>
      <w:pPr>
        <w:widowControl/>
        <w:spacing w:line="429" w:lineRule="exact"/>
        <w:ind w:firstLine="3200" w:firstLineChars="1000"/>
        <w:jc w:val="left"/>
        <w:rPr>
          <w:rFonts w:ascii="Times New Roman" w:hAnsi="Times New Roman" w:eastAsia="方正小标宋简体" w:cs="方正小标宋简体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bCs/>
          <w:kern w:val="2"/>
          <w:sz w:val="32"/>
          <w:szCs w:val="32"/>
        </w:rPr>
        <w:t>西洋</w:t>
      </w:r>
      <w:r>
        <w:rPr>
          <w:rFonts w:ascii="Times New Roman" w:hAnsi="Times New Roman" w:eastAsia="方正小标宋简体" w:cs="方正小标宋简体"/>
          <w:bCs/>
          <w:kern w:val="2"/>
          <w:sz w:val="32"/>
          <w:szCs w:val="32"/>
        </w:rPr>
        <w:t>参原料技术要求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>【来源】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 w:val="0"/>
        <w:spacing w:line="360" w:lineRule="auto"/>
        <w:ind w:firstLine="420" w:firstLineChars="200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五加科植物西洋参（Panax quinquefolium L.）的干燥根。均系栽培品，秋季采挖，洗净，晒干或低温干燥。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【</w:t>
      </w:r>
      <w:r>
        <w:rPr>
          <w:rFonts w:ascii="Times New Roman" w:hAnsi="Times New Roman" w:cs="Times New Roman"/>
          <w:kern w:val="2"/>
          <w:sz w:val="21"/>
          <w:szCs w:val="24"/>
        </w:rPr>
        <w:t>感官要求】</w:t>
      </w:r>
    </w:p>
    <w:p>
      <w:pPr>
        <w:widowControl w:val="0"/>
        <w:spacing w:line="360" w:lineRule="auto"/>
        <w:ind w:firstLine="420" w:firstLineChars="200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>应符合表 1 规定。</w:t>
      </w:r>
    </w:p>
    <w:p>
      <w:pPr>
        <w:widowControl w:val="0"/>
        <w:spacing w:line="360" w:lineRule="auto"/>
        <w:ind w:firstLine="420" w:firstLineChars="200"/>
        <w:jc w:val="center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表 1 感官指标</w:t>
      </w:r>
    </w:p>
    <w:tbl>
      <w:tblPr>
        <w:tblStyle w:val="3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6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03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项目</w:t>
            </w:r>
          </w:p>
        </w:tc>
        <w:tc>
          <w:tcPr>
            <w:tcW w:w="6314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903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色泽</w:t>
            </w:r>
          </w:p>
        </w:tc>
        <w:tc>
          <w:tcPr>
            <w:tcW w:w="6314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全体表面呈浅黄褐色或黄白色。断面浅黄白色。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903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滋味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、气味</w:t>
            </w:r>
          </w:p>
        </w:tc>
        <w:tc>
          <w:tcPr>
            <w:tcW w:w="6314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气微而特异，味微苦、甘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03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状态</w:t>
            </w:r>
          </w:p>
        </w:tc>
        <w:tc>
          <w:tcPr>
            <w:tcW w:w="6314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本品呈纺锤形、圆柱形或圆锥形，长 3～12cm，直径 0.8～2cm。表面可见横向环纹和线形皮孔状突起，并有细密浅纵皱纹和须根痕。主根中下部有一至数条侧根，多已折断。有的上端有根茎（芦头），环节明显，茎痕（芦碗）圆形或半圆形，具不定根（艼）或已折断。体重，质坚实，不易折断。无虫蛀、霉变。</w:t>
            </w:r>
          </w:p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断面平坦，略显粉性，皮部可见黄棕色点状树脂道，形成层环纹棕黄色，木部略呈放射状纹理。</w:t>
            </w:r>
          </w:p>
        </w:tc>
      </w:tr>
    </w:tbl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【鉴别】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显微</w:t>
      </w:r>
      <w:r>
        <w:rPr>
          <w:rFonts w:ascii="Times New Roman" w:hAnsi="Times New Roman" w:cs="Times New Roman"/>
          <w:kern w:val="2"/>
          <w:sz w:val="21"/>
          <w:szCs w:val="24"/>
        </w:rPr>
        <w:t>鉴别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>1.1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横切面：木栓层由 6-8 列切向延长的细胞组成，外部数层细胞常脱落。皮层薄壁细胞 10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余列，细胞内含草酸钙簇晶，皮层散有树脂道，周围有 5-11 个分泌细胞。韧皮部树脂道众多，常排列成 1-3 个同心环，外侧射线中常有裂隙。形成层环明显。木质部导管常单个成 2-10 个群，径向断续排列，导管木化或微木化，射线细胞 1-4 列。薄壁细胞含淀粉粒。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>1.2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粉末：淡褐色或淡黄白色。树脂道从断面观呈管道状，内含大量金黄色油滴状分泌物和少量橘红色条块状分泌物。草酸钙簇晶较多，直径 8-91μm，偏光显微镜下呈亮多彩状。木栓细胞无色、淡黄色或淡黄棕色，类多角形或类方形，垂周壁薄，波状弯曲。导管主要为网纹，梯纹导管，另有环纹及螺纹导管。淀粉粒单粒类圆形至卵形，直径 2-28μm，脐点人字形、点状或裂隙状，层纹明显；复粒较少，2-9 分粒组成，偏光显微镜下呈黑十字状。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2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理化鉴别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取本品粉末 l g，加甲醇 25 mL，加热回流 30 分钟，滤过，滤液蒸干，残渣加水 20 mL使溶解，加水饱和的正丁醇振摇提取 2 次，每次 25 mL，合并正丁醇提取液，用水洗涤 2 次，每次 10 mL，分取正丁醇液，蒸干，残渣加甲醇 4 mL 使溶解，作为供试品溶液。另取西洋参对照药材 l g，同法制成对照药材溶液。再取拟人参皂苷 F11 对照品、人参皂苷 Rb1 对照品、人参皂苷 Re 对照品、人参皂苷 Rgl 对照品，加甲醇制成每 l mL 各含 2 mg 的溶液，作为对照品溶液。照薄层色谱法（通则 0502）试验，吸取上述六种溶液各 2μL，分别点于同一硅胶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G 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薄层板上，以三氯甲烷</w:t>
      </w:r>
      <w:r>
        <w:rPr>
          <w:rFonts w:ascii="Times New Roman" w:hAnsi="Times New Roman" w:cs="Times New Roman"/>
          <w:kern w:val="2"/>
          <w:sz w:val="21"/>
          <w:szCs w:val="24"/>
        </w:rPr>
        <w:t>-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乙酸乙酯</w:t>
      </w:r>
      <w:r>
        <w:rPr>
          <w:rFonts w:ascii="Times New Roman" w:hAnsi="Times New Roman" w:cs="Times New Roman"/>
          <w:kern w:val="2"/>
          <w:sz w:val="21"/>
          <w:szCs w:val="24"/>
        </w:rPr>
        <w:t>-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甲醇</w:t>
      </w:r>
      <w:r>
        <w:rPr>
          <w:rFonts w:ascii="Times New Roman" w:hAnsi="Times New Roman" w:cs="Times New Roman"/>
          <w:kern w:val="2"/>
          <w:sz w:val="21"/>
          <w:szCs w:val="24"/>
        </w:rPr>
        <w:t>-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水（</w:t>
      </w:r>
      <w:r>
        <w:rPr>
          <w:rFonts w:ascii="Times New Roman" w:hAnsi="Times New Roman" w:cs="Times New Roman"/>
          <w:kern w:val="2"/>
          <w:sz w:val="21"/>
          <w:szCs w:val="24"/>
        </w:rPr>
        <w:t>15:40:22:10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）</w:t>
      </w:r>
      <w:r>
        <w:rPr>
          <w:rFonts w:ascii="Times New Roman" w:hAnsi="Times New Roman" w:cs="Times New Roman"/>
          <w:kern w:val="2"/>
          <w:sz w:val="21"/>
          <w:szCs w:val="24"/>
        </w:rPr>
        <w:t>5</w:t>
      </w:r>
      <w:r>
        <w:rPr>
          <w:rFonts w:hint="eastAsia" w:ascii="MS Mincho" w:hAnsi="MS Mincho" w:eastAsia="MS Mincho" w:cs="MS Mincho"/>
          <w:kern w:val="2"/>
          <w:sz w:val="21"/>
          <w:szCs w:val="24"/>
        </w:rPr>
        <w:t>〜</w:t>
      </w:r>
      <w:r>
        <w:rPr>
          <w:rFonts w:ascii="Times New Roman" w:hAnsi="Times New Roman" w:cs="Times New Roman"/>
          <w:kern w:val="2"/>
          <w:sz w:val="21"/>
          <w:szCs w:val="24"/>
        </w:rPr>
        <w:t>10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℃放置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12 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小时的下层溶液为展开剂，展开，取出，晾干，喷以 10%硫酸乙醇溶液，在 105℃加热至斑点显色清晰，分别置日光和紫外光灯（365 nm）下检视。供试品色谱中，在与对照药材色谱和对照品色谱相应的位置上，分别显相同颜色的斑点或荧光斑点。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【理化指标】</w:t>
      </w:r>
    </w:p>
    <w:p>
      <w:pPr>
        <w:widowControl w:val="0"/>
        <w:spacing w:line="360" w:lineRule="auto"/>
        <w:ind w:firstLine="420" w:firstLineChars="200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应符合表 2 规定。</w:t>
      </w:r>
    </w:p>
    <w:p>
      <w:pPr>
        <w:widowControl w:val="0"/>
        <w:spacing w:line="360" w:lineRule="auto"/>
        <w:ind w:firstLine="390"/>
        <w:jc w:val="center"/>
        <w:rPr>
          <w:rFonts w:ascii="Times New Roman" w:hAnsi="Times New Roman" w:eastAsia="宋体" w:cs="Times New Roman"/>
          <w:color w:val="000000"/>
          <w:spacing w:val="-4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pacing w:val="-4"/>
          <w:kern w:val="2"/>
          <w:sz w:val="21"/>
          <w:szCs w:val="24"/>
        </w:rPr>
        <w:t>表2 理化指标</w:t>
      </w:r>
    </w:p>
    <w:tbl>
      <w:tblPr>
        <w:tblStyle w:val="3"/>
        <w:tblW w:w="8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1984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指标</w:t>
            </w: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检测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水分，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%              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13.0</w:t>
            </w: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GB 5009.3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灰分，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%              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5.0</w:t>
            </w:r>
          </w:p>
        </w:tc>
        <w:tc>
          <w:tcPr>
            <w:tcW w:w="270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GB 5009.4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铅（以Pb计），mg/kg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2.0</w:t>
            </w:r>
          </w:p>
        </w:tc>
        <w:tc>
          <w:tcPr>
            <w:tcW w:w="270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GB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009.12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总砷（以As计），mg/kg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.0</w:t>
            </w:r>
          </w:p>
        </w:tc>
        <w:tc>
          <w:tcPr>
            <w:tcW w:w="270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GB5009.11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总汞（以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Hg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计），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mg/kg  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0.2</w:t>
            </w: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GB 5009.17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镉（以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Cd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计），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mg/kg            ≤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1.0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GB 5009.15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铜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以Cu计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mg/kg            ≤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GB 5009.13</w:t>
            </w:r>
          </w:p>
        </w:tc>
      </w:tr>
    </w:tbl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【农药</w:t>
      </w:r>
      <w:r>
        <w:rPr>
          <w:rFonts w:ascii="Times New Roman" w:hAnsi="Times New Roman" w:cs="Times New Roman"/>
          <w:kern w:val="2"/>
          <w:sz w:val="21"/>
          <w:szCs w:val="24"/>
        </w:rPr>
        <w:t>残留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】</w:t>
      </w:r>
    </w:p>
    <w:p>
      <w:pPr>
        <w:widowControl w:val="0"/>
        <w:spacing w:line="360" w:lineRule="auto"/>
        <w:ind w:firstLine="420" w:firstLineChars="200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应符合表</w:t>
      </w:r>
      <w:r>
        <w:rPr>
          <w:rFonts w:ascii="Times New Roman" w:hAnsi="Times New Roman" w:cs="Times New Roman"/>
          <w:kern w:val="2"/>
          <w:sz w:val="21"/>
          <w:szCs w:val="24"/>
        </w:rPr>
        <w:t>3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规定。</w:t>
      </w:r>
    </w:p>
    <w:p>
      <w:pPr>
        <w:widowControl w:val="0"/>
        <w:spacing w:line="360" w:lineRule="auto"/>
        <w:jc w:val="center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表3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农药残留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指标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2816"/>
        <w:gridCol w:w="1211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农药名称</w:t>
            </w:r>
          </w:p>
        </w:tc>
        <w:tc>
          <w:tcPr>
            <w:tcW w:w="281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残留物</w:t>
            </w:r>
          </w:p>
        </w:tc>
        <w:tc>
          <w:tcPr>
            <w:tcW w:w="121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最大残留量mg/kg</w:t>
            </w:r>
          </w:p>
        </w:tc>
        <w:tc>
          <w:tcPr>
            <w:tcW w:w="2609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苯醚甲环唑</w:t>
            </w:r>
          </w:p>
        </w:tc>
        <w:tc>
          <w:tcPr>
            <w:tcW w:w="281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苯醚甲环唑</w:t>
            </w:r>
          </w:p>
        </w:tc>
        <w:tc>
          <w:tcPr>
            <w:tcW w:w="121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0.5</w:t>
            </w:r>
          </w:p>
        </w:tc>
        <w:tc>
          <w:tcPr>
            <w:tcW w:w="2609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 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丙环唑</w:t>
            </w:r>
          </w:p>
        </w:tc>
        <w:tc>
          <w:tcPr>
            <w:tcW w:w="281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丙环唑</w:t>
            </w:r>
          </w:p>
        </w:tc>
        <w:tc>
          <w:tcPr>
            <w:tcW w:w="121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0.1</w:t>
            </w:r>
          </w:p>
        </w:tc>
        <w:tc>
          <w:tcPr>
            <w:tcW w:w="2609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GB 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甲霜灵</w:t>
            </w:r>
          </w:p>
        </w:tc>
        <w:tc>
          <w:tcPr>
            <w:tcW w:w="281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甲霜灵</w:t>
            </w:r>
          </w:p>
        </w:tc>
        <w:tc>
          <w:tcPr>
            <w:tcW w:w="121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0.2</w:t>
            </w:r>
          </w:p>
        </w:tc>
        <w:tc>
          <w:tcPr>
            <w:tcW w:w="2609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 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氯氟氰菊酯</w:t>
            </w:r>
          </w:p>
        </w:tc>
        <w:tc>
          <w:tcPr>
            <w:tcW w:w="281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氯氟氰菊酯(异构体之和)</w:t>
            </w:r>
          </w:p>
        </w:tc>
        <w:tc>
          <w:tcPr>
            <w:tcW w:w="121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0.2</w:t>
            </w:r>
          </w:p>
        </w:tc>
        <w:tc>
          <w:tcPr>
            <w:tcW w:w="2609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 232008、GB23200.113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嘧霉胺</w:t>
            </w:r>
          </w:p>
        </w:tc>
        <w:tc>
          <w:tcPr>
            <w:tcW w:w="281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嘧霉胺</w:t>
            </w:r>
          </w:p>
        </w:tc>
        <w:tc>
          <w:tcPr>
            <w:tcW w:w="121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1.5</w:t>
            </w:r>
          </w:p>
        </w:tc>
        <w:tc>
          <w:tcPr>
            <w:tcW w:w="2609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 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杀扑磷</w:t>
            </w:r>
          </w:p>
        </w:tc>
        <w:tc>
          <w:tcPr>
            <w:tcW w:w="281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杀扑磷</w:t>
            </w:r>
          </w:p>
        </w:tc>
        <w:tc>
          <w:tcPr>
            <w:tcW w:w="121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0.05</w:t>
            </w:r>
          </w:p>
        </w:tc>
        <w:tc>
          <w:tcPr>
            <w:tcW w:w="2609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 23200.113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、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 23200.116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戊唑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醇</w:t>
            </w:r>
          </w:p>
        </w:tc>
        <w:tc>
          <w:tcPr>
            <w:tcW w:w="281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戊唑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醇</w:t>
            </w:r>
          </w:p>
        </w:tc>
        <w:tc>
          <w:tcPr>
            <w:tcW w:w="121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0.4</w:t>
            </w:r>
          </w:p>
        </w:tc>
        <w:tc>
          <w:tcPr>
            <w:tcW w:w="2609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 xml:space="preserve">GB 23200.113、GB 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/T20770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烯酰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吗啉</w:t>
            </w:r>
          </w:p>
        </w:tc>
        <w:tc>
          <w:tcPr>
            <w:tcW w:w="281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烯酰吗啉</w:t>
            </w:r>
          </w:p>
        </w:tc>
        <w:tc>
          <w:tcPr>
            <w:tcW w:w="121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0. 1</w:t>
            </w:r>
          </w:p>
        </w:tc>
        <w:tc>
          <w:tcPr>
            <w:tcW w:w="2609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 xml:space="preserve">GB 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/T20769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硫丹</w:t>
            </w:r>
          </w:p>
        </w:tc>
        <w:tc>
          <w:tcPr>
            <w:tcW w:w="2816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α-硫丹和β-硫丹及硫丹硫酸酯之和</w:t>
            </w:r>
          </w:p>
        </w:tc>
        <w:tc>
          <w:tcPr>
            <w:tcW w:w="121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0.05</w:t>
            </w:r>
          </w:p>
        </w:tc>
        <w:tc>
          <w:tcPr>
            <w:tcW w:w="2609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GB/T 500919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七氯</w:t>
            </w:r>
          </w:p>
        </w:tc>
        <w:tc>
          <w:tcPr>
            <w:tcW w:w="281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七氯、环氧七氯之和</w:t>
            </w:r>
          </w:p>
        </w:tc>
        <w:tc>
          <w:tcPr>
            <w:tcW w:w="121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0.05</w:t>
            </w:r>
          </w:p>
        </w:tc>
        <w:tc>
          <w:tcPr>
            <w:tcW w:w="2609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《中华人民共和国药典》2020 年版通则0521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五氯硝基苯</w:t>
            </w:r>
          </w:p>
        </w:tc>
        <w:tc>
          <w:tcPr>
            <w:tcW w:w="281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五氯硝基苯</w:t>
            </w:r>
          </w:p>
        </w:tc>
        <w:tc>
          <w:tcPr>
            <w:tcW w:w="121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0.10</w:t>
            </w:r>
          </w:p>
        </w:tc>
        <w:tc>
          <w:tcPr>
            <w:tcW w:w="2609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《中华人民共和国药典》2020 年版通则0521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六氯苯</w:t>
            </w:r>
          </w:p>
        </w:tc>
        <w:tc>
          <w:tcPr>
            <w:tcW w:w="281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六氯苯</w:t>
            </w:r>
          </w:p>
        </w:tc>
        <w:tc>
          <w:tcPr>
            <w:tcW w:w="121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0.10</w:t>
            </w:r>
          </w:p>
        </w:tc>
        <w:tc>
          <w:tcPr>
            <w:tcW w:w="2609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《中华人民共和国药典》2020 年版通则0521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氯丹</w:t>
            </w:r>
          </w:p>
        </w:tc>
        <w:tc>
          <w:tcPr>
            <w:tcW w:w="2816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顺式氯丹、反式氯丹、氧化氯丹之和</w:t>
            </w:r>
          </w:p>
        </w:tc>
        <w:tc>
          <w:tcPr>
            <w:tcW w:w="1211" w:type="dxa"/>
            <w:vAlign w:val="bottom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0.10</w:t>
            </w:r>
          </w:p>
        </w:tc>
        <w:tc>
          <w:tcPr>
            <w:tcW w:w="2609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《中华人民共和国药典》2020 年版通则0521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六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六六</w:t>
            </w:r>
          </w:p>
        </w:tc>
        <w:tc>
          <w:tcPr>
            <w:tcW w:w="2816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α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-六六六、β-六六六，γ-六六六，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六、γ-六六六和δ-六六六之和，以六六六表示</w:t>
            </w:r>
          </w:p>
        </w:tc>
        <w:tc>
          <w:tcPr>
            <w:tcW w:w="1211" w:type="dxa"/>
            <w:vAlign w:val="bottom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0.1</w:t>
            </w:r>
          </w:p>
        </w:tc>
        <w:tc>
          <w:tcPr>
            <w:tcW w:w="2609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《中华人民共和国药典》2020 年版通则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滴滴涕</w:t>
            </w:r>
          </w:p>
        </w:tc>
        <w:tc>
          <w:tcPr>
            <w:tcW w:w="2816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4,4'- 滴滴涕、 2,4'-滴滴涕、4,4'-滴滴伊、4,4'-滴滴滴之和，以滴滴涕表示</w:t>
            </w:r>
          </w:p>
        </w:tc>
        <w:tc>
          <w:tcPr>
            <w:tcW w:w="1211" w:type="dxa"/>
            <w:vAlign w:val="bottom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2609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《中华人民共和国药典》2020 年版通则</w:t>
            </w:r>
          </w:p>
        </w:tc>
      </w:tr>
    </w:tbl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【标志性成分</w:t>
      </w:r>
      <w:r>
        <w:rPr>
          <w:rFonts w:ascii="Times New Roman" w:hAnsi="Times New Roman" w:cs="Times New Roman"/>
          <w:kern w:val="2"/>
          <w:sz w:val="21"/>
          <w:szCs w:val="24"/>
        </w:rPr>
        <w:t>指标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】</w:t>
      </w:r>
    </w:p>
    <w:p>
      <w:pPr>
        <w:widowControl w:val="0"/>
        <w:spacing w:line="360" w:lineRule="auto"/>
        <w:ind w:firstLine="420" w:firstLineChars="200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应符合表</w:t>
      </w:r>
      <w:r>
        <w:rPr>
          <w:rFonts w:ascii="Times New Roman" w:hAnsi="Times New Roman" w:cs="Times New Roman"/>
          <w:kern w:val="2"/>
          <w:sz w:val="21"/>
          <w:szCs w:val="24"/>
        </w:rPr>
        <w:t>4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规定。</w:t>
      </w:r>
    </w:p>
    <w:p>
      <w:pPr>
        <w:widowControl w:val="0"/>
        <w:spacing w:line="360" w:lineRule="auto"/>
        <w:jc w:val="center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表4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标志性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成分指标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4"/>
        <w:gridCol w:w="1134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vAlign w:val="center"/>
          </w:tcPr>
          <w:p>
            <w:pPr>
              <w:widowControl w:val="0"/>
              <w:spacing w:line="360" w:lineRule="auto"/>
              <w:ind w:firstLine="420" w:firstLineChars="200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项目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ind w:firstLine="420" w:firstLineChars="200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指标</w:t>
            </w:r>
          </w:p>
        </w:tc>
        <w:tc>
          <w:tcPr>
            <w:tcW w:w="1928" w:type="dxa"/>
            <w:vAlign w:val="center"/>
          </w:tcPr>
          <w:p>
            <w:pPr>
              <w:widowControl w:val="0"/>
              <w:spacing w:line="360" w:lineRule="auto"/>
              <w:ind w:firstLine="420" w:firstLineChars="200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vAlign w:val="center"/>
          </w:tcPr>
          <w:p>
            <w:pPr>
              <w:widowControl w:val="0"/>
              <w:spacing w:line="360" w:lineRule="auto"/>
              <w:ind w:left="4410" w:hanging="4410" w:hangingChars="2100"/>
              <w:jc w:val="left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人参皂苷 Rg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vertAlign w:val="subscript"/>
              </w:rPr>
              <w:t>1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 xml:space="preserve"> 、人参皂苷 Re和人参皂苷 R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b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vertAlign w:val="subscript"/>
              </w:rPr>
              <w:t>1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，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 xml:space="preserve">%                       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≥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60" w:lineRule="auto"/>
              <w:ind w:firstLine="420" w:firstLineChars="20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2.0</w:t>
            </w:r>
          </w:p>
        </w:tc>
        <w:tc>
          <w:tcPr>
            <w:tcW w:w="1928" w:type="dxa"/>
            <w:vAlign w:val="center"/>
          </w:tcPr>
          <w:p>
            <w:pPr>
              <w:widowControl w:val="0"/>
              <w:spacing w:line="360" w:lineRule="auto"/>
              <w:ind w:firstLine="420" w:firstLineChars="20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1 皂苷的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测定</w:t>
            </w:r>
          </w:p>
        </w:tc>
      </w:tr>
    </w:tbl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 皂苷</w:t>
      </w:r>
      <w:r>
        <w:rPr>
          <w:rFonts w:ascii="Times New Roman" w:hAnsi="Times New Roman" w:cs="Times New Roman"/>
          <w:kern w:val="2"/>
          <w:sz w:val="21"/>
          <w:szCs w:val="24"/>
        </w:rPr>
        <w:t>的测定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1.1 仪器</w:t>
      </w:r>
      <w:r>
        <w:rPr>
          <w:rFonts w:ascii="Times New Roman" w:hAnsi="Times New Roman" w:cs="Times New Roman"/>
          <w:kern w:val="2"/>
          <w:sz w:val="21"/>
          <w:szCs w:val="24"/>
        </w:rPr>
        <w:t>与设备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</w:t>
      </w:r>
      <w:r>
        <w:rPr>
          <w:rFonts w:ascii="Times New Roman" w:hAnsi="Times New Roman" w:cs="Times New Roman"/>
          <w:kern w:val="2"/>
          <w:sz w:val="21"/>
          <w:szCs w:val="24"/>
        </w:rPr>
        <w:t>.1.1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电子分析天平：精度 0.1 mg。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</w:t>
      </w:r>
      <w:r>
        <w:rPr>
          <w:rFonts w:ascii="Times New Roman" w:hAnsi="Times New Roman" w:cs="Times New Roman"/>
          <w:kern w:val="2"/>
          <w:sz w:val="21"/>
          <w:szCs w:val="24"/>
        </w:rPr>
        <w:t>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.2 高效液相色谱仪。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</w:t>
      </w:r>
      <w:r>
        <w:rPr>
          <w:rFonts w:ascii="Times New Roman" w:hAnsi="Times New Roman" w:cs="Times New Roman"/>
          <w:kern w:val="2"/>
          <w:sz w:val="21"/>
          <w:szCs w:val="24"/>
        </w:rPr>
        <w:t>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.3 电热恒温水浴锅：±0.5 ℃。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</w:t>
      </w:r>
      <w:r>
        <w:rPr>
          <w:rFonts w:ascii="Times New Roman" w:hAnsi="Times New Roman" w:cs="Times New Roman"/>
          <w:kern w:val="2"/>
          <w:sz w:val="21"/>
          <w:szCs w:val="24"/>
        </w:rPr>
        <w:t>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.4 超声波清洗器：功率≥45 W。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</w:t>
      </w:r>
      <w:r>
        <w:rPr>
          <w:rFonts w:ascii="Times New Roman" w:hAnsi="Times New Roman" w:cs="Times New Roman"/>
          <w:kern w:val="2"/>
          <w:sz w:val="21"/>
          <w:szCs w:val="24"/>
        </w:rPr>
        <w:t>2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 xml:space="preserve"> 试剂与溶液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</w:t>
      </w:r>
      <w:r>
        <w:rPr>
          <w:rFonts w:ascii="Times New Roman" w:hAnsi="Times New Roman" w:cs="Times New Roman"/>
          <w:kern w:val="2"/>
          <w:sz w:val="21"/>
          <w:szCs w:val="24"/>
        </w:rPr>
        <w:t>2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.</w:t>
      </w:r>
      <w:r>
        <w:rPr>
          <w:rFonts w:ascii="Times New Roman" w:hAnsi="Times New Roman" w:cs="Times New Roman"/>
          <w:kern w:val="2"/>
          <w:sz w:val="21"/>
          <w:szCs w:val="24"/>
        </w:rPr>
        <w:t>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 xml:space="preserve"> 乙腈，色谱级纯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</w:t>
      </w:r>
      <w:r>
        <w:rPr>
          <w:rFonts w:ascii="Times New Roman" w:hAnsi="Times New Roman" w:cs="Times New Roman"/>
          <w:kern w:val="2"/>
          <w:sz w:val="21"/>
          <w:szCs w:val="24"/>
        </w:rPr>
        <w:t>2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.3 磷酸，分析纯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</w:t>
      </w:r>
      <w:r>
        <w:rPr>
          <w:rFonts w:ascii="Times New Roman" w:hAnsi="Times New Roman" w:cs="Times New Roman"/>
          <w:kern w:val="2"/>
          <w:sz w:val="21"/>
          <w:szCs w:val="24"/>
        </w:rPr>
        <w:t>2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.4 正丁醇，分析纯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</w:t>
      </w:r>
      <w:r>
        <w:rPr>
          <w:rFonts w:ascii="Times New Roman" w:hAnsi="Times New Roman" w:cs="Times New Roman"/>
          <w:kern w:val="2"/>
          <w:sz w:val="21"/>
          <w:szCs w:val="24"/>
        </w:rPr>
        <w:t>2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.5 甲醇，分析纯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1.3对照品溶液制备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准确称取</w:t>
      </w:r>
      <w:r>
        <w:rPr>
          <w:rFonts w:ascii="Times New Roman" w:hAnsi="Times New Roman" w:cs="Times New Roman"/>
          <w:kern w:val="2"/>
          <w:sz w:val="21"/>
          <w:szCs w:val="24"/>
        </w:rPr>
        <w:t>人参皂苷Rg</w:t>
      </w:r>
      <w:r>
        <w:rPr>
          <w:rFonts w:ascii="Times New Roman" w:hAnsi="Times New Roman" w:cs="Times New Roman"/>
          <w:kern w:val="2"/>
          <w:sz w:val="21"/>
          <w:szCs w:val="24"/>
          <w:vertAlign w:val="subscript"/>
        </w:rPr>
        <w:t>1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对照品、人参皂苷 Re 对照品及人参皂苷 Rb</w:t>
      </w:r>
      <w:r>
        <w:rPr>
          <w:rFonts w:ascii="Times New Roman" w:hAnsi="Times New Roman" w:cs="Times New Roman"/>
          <w:kern w:val="2"/>
          <w:sz w:val="21"/>
          <w:szCs w:val="24"/>
          <w:vertAlign w:val="subscript"/>
        </w:rPr>
        <w:t>1</w:t>
      </w:r>
      <w:r>
        <w:rPr>
          <w:rFonts w:ascii="Times New Roman" w:hAnsi="Times New Roman" w:cs="Times New Roman"/>
          <w:kern w:val="2"/>
          <w:sz w:val="21"/>
          <w:szCs w:val="24"/>
        </w:rPr>
        <w:t>对照品，加甲醇制成每 l mL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各</w:t>
      </w:r>
      <w:r>
        <w:rPr>
          <w:rFonts w:ascii="Times New Roman" w:hAnsi="Times New Roman" w:cs="Times New Roman"/>
          <w:kern w:val="2"/>
          <w:sz w:val="21"/>
          <w:szCs w:val="24"/>
        </w:rPr>
        <w:t>含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人参皂苷Rg</w:t>
      </w:r>
      <w:r>
        <w:rPr>
          <w:rFonts w:hint="eastAsia" w:ascii="Times New Roman" w:hAnsi="Times New Roman" w:cs="Times New Roman"/>
          <w:kern w:val="2"/>
          <w:sz w:val="21"/>
          <w:szCs w:val="24"/>
          <w:vertAlign w:val="subscript"/>
        </w:rPr>
        <w:t>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 xml:space="preserve"> 0</w:t>
      </w:r>
      <w:r>
        <w:rPr>
          <w:rFonts w:ascii="Times New Roman" w:hAnsi="Times New Roman" w:cs="Times New Roman"/>
          <w:kern w:val="2"/>
          <w:sz w:val="21"/>
          <w:szCs w:val="24"/>
        </w:rPr>
        <w:t>.1mg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、人参皂苷 Re 0</w:t>
      </w:r>
      <w:r>
        <w:rPr>
          <w:rFonts w:ascii="Times New Roman" w:hAnsi="Times New Roman" w:cs="Times New Roman"/>
          <w:kern w:val="2"/>
          <w:sz w:val="21"/>
          <w:szCs w:val="24"/>
        </w:rPr>
        <w:t>.4mg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及人参皂苷 Rb</w:t>
      </w:r>
      <w:r>
        <w:rPr>
          <w:rFonts w:hint="eastAsia" w:ascii="Times New Roman" w:hAnsi="Times New Roman" w:cs="Times New Roman"/>
          <w:kern w:val="2"/>
          <w:sz w:val="21"/>
          <w:szCs w:val="24"/>
          <w:vertAlign w:val="subscript"/>
        </w:rPr>
        <w:t>1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1 mg 的混合溶液，摇匀，即得。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1.4</w:t>
      </w:r>
      <w:r>
        <w:rPr>
          <w:rFonts w:ascii="Times New Roman" w:hAnsi="Times New Roman" w:cs="Times New Roman"/>
          <w:kern w:val="2"/>
          <w:sz w:val="21"/>
          <w:szCs w:val="24"/>
        </w:rPr>
        <w:t>色谱条件与系统适用性试验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以十八烷基硅烷键合硅胶为填充剂；以乙腈（色谱级）为流动相A，以0</w:t>
      </w:r>
      <w:r>
        <w:rPr>
          <w:rFonts w:ascii="Times New Roman" w:hAnsi="Times New Roman" w:cs="Times New Roman"/>
          <w:kern w:val="2"/>
          <w:sz w:val="21"/>
          <w:szCs w:val="24"/>
        </w:rPr>
        <w:t>.1%磷酸溶液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为流动相B，按下表中的规定进行梯度洗脱；检测波长为203 nm；</w:t>
      </w:r>
      <w:r>
        <w:rPr>
          <w:rFonts w:ascii="Times New Roman" w:hAnsi="Times New Roman" w:cs="Times New Roman"/>
          <w:kern w:val="2"/>
          <w:sz w:val="21"/>
          <w:szCs w:val="24"/>
        </w:rPr>
        <w:t>柱温40</w:t>
      </w:r>
      <w:r>
        <w:rPr>
          <w:rFonts w:hint="eastAsia" w:ascii="宋体" w:hAnsi="宋体" w:eastAsia="宋体" w:cs="宋体"/>
          <w:kern w:val="2"/>
          <w:sz w:val="21"/>
          <w:szCs w:val="24"/>
          <w:lang w:eastAsia="ja-JP"/>
        </w:rPr>
        <w:t>℃</w:t>
      </w:r>
      <w:r>
        <w:rPr>
          <w:rFonts w:ascii="宋体" w:hAnsi="宋体" w:eastAsia="MS Mincho" w:cs="宋体"/>
          <w:kern w:val="2"/>
          <w:sz w:val="21"/>
          <w:szCs w:val="24"/>
          <w:lang w:eastAsia="ja-JP"/>
        </w:rPr>
        <w:t>。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理论板数按人参皂苷R</w:t>
      </w:r>
      <w:r>
        <w:rPr>
          <w:rFonts w:ascii="Times New Roman" w:hAnsi="Times New Roman" w:cs="Times New Roman"/>
          <w:kern w:val="2"/>
          <w:sz w:val="21"/>
          <w:szCs w:val="24"/>
        </w:rPr>
        <w:t>b</w:t>
      </w:r>
      <w:r>
        <w:rPr>
          <w:rFonts w:hint="eastAsia" w:ascii="Times New Roman" w:hAnsi="Times New Roman" w:cs="Times New Roman"/>
          <w:kern w:val="2"/>
          <w:sz w:val="21"/>
          <w:szCs w:val="24"/>
          <w:vertAlign w:val="subscript"/>
        </w:rPr>
        <w:t>l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峰计算应不低于</w:t>
      </w:r>
      <w:r>
        <w:rPr>
          <w:rFonts w:ascii="Times New Roman" w:hAnsi="Times New Roman" w:cs="Times New Roman"/>
          <w:kern w:val="2"/>
          <w:sz w:val="21"/>
          <w:szCs w:val="24"/>
        </w:rPr>
        <w:t>5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000。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845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时间（分钟）</w:t>
            </w:r>
          </w:p>
        </w:tc>
        <w:tc>
          <w:tcPr>
            <w:tcW w:w="3003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流动相A（%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）</w:t>
            </w:r>
          </w:p>
        </w:tc>
        <w:tc>
          <w:tcPr>
            <w:tcW w:w="3004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流动相B（％）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0～25</w:t>
            </w:r>
          </w:p>
        </w:tc>
        <w:tc>
          <w:tcPr>
            <w:tcW w:w="3003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19→20</w:t>
            </w:r>
          </w:p>
        </w:tc>
        <w:tc>
          <w:tcPr>
            <w:tcW w:w="3004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81→80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25～60</w:t>
            </w:r>
          </w:p>
        </w:tc>
        <w:tc>
          <w:tcPr>
            <w:tcW w:w="3003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20→40</w:t>
            </w:r>
          </w:p>
        </w:tc>
        <w:tc>
          <w:tcPr>
            <w:tcW w:w="3004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80→60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60～90</w:t>
            </w:r>
          </w:p>
        </w:tc>
        <w:tc>
          <w:tcPr>
            <w:tcW w:w="3003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40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→55</w:t>
            </w:r>
          </w:p>
        </w:tc>
        <w:tc>
          <w:tcPr>
            <w:tcW w:w="3004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60→45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90～100</w:t>
            </w:r>
          </w:p>
        </w:tc>
        <w:tc>
          <w:tcPr>
            <w:tcW w:w="3003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55→60</w:t>
            </w:r>
          </w:p>
        </w:tc>
        <w:tc>
          <w:tcPr>
            <w:tcW w:w="3004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45→40</w:t>
            </w:r>
          </w:p>
        </w:tc>
      </w:tr>
    </w:tbl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1.5样品的处理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准确称取本品粉末（过三号筛）约 1g，精密称定，置具塞锥形瓶中，精密加入水饱和的正丁醇 50mL，称定重量，置水浴中加热回流提取 1.5 小时，放冷，再称定重量，用水饱和正丁醇补足减失的重量，摇匀，滤过。精密量取续滤液 25mL，置蒸发皿中，蒸干，残渣加 50%甲醇适量使溶解，转移至 10mL 量瓶中，加 50%甲醇至刻度，摇匀，滤过，取续滤液，即得。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1.6 测定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分别精密吸取对照品溶液 10μL 与供试品溶液 10μL，注入液相色谱仪，测定。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1.7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结果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 xml:space="preserve">                        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drawing>
          <wp:inline distT="0" distB="0" distL="0" distR="0">
            <wp:extent cx="2125980" cy="611505"/>
            <wp:effectExtent l="0" t="0" r="7620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X—样品中人参皂苷的含量，%；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 xml:space="preserve">A </w:t>
      </w:r>
      <w:r>
        <w:rPr>
          <w:rFonts w:ascii="Times New Roman" w:hAnsi="Times New Roman" w:cs="Times New Roman"/>
          <w:kern w:val="2"/>
          <w:sz w:val="21"/>
          <w:szCs w:val="24"/>
          <w:vertAlign w:val="subscript"/>
        </w:rPr>
        <w:t>样</w:t>
      </w:r>
      <w:r>
        <w:rPr>
          <w:rFonts w:ascii="Times New Roman" w:hAnsi="Times New Roman" w:cs="Times New Roman"/>
          <w:kern w:val="2"/>
          <w:sz w:val="21"/>
          <w:szCs w:val="24"/>
        </w:rPr>
        <w:t>—样品峰面积；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 xml:space="preserve">A </w:t>
      </w:r>
      <w:r>
        <w:rPr>
          <w:rFonts w:ascii="Times New Roman" w:hAnsi="Times New Roman" w:cs="Times New Roman"/>
          <w:kern w:val="2"/>
          <w:sz w:val="21"/>
          <w:szCs w:val="24"/>
          <w:vertAlign w:val="subscript"/>
        </w:rPr>
        <w:t>对</w:t>
      </w:r>
      <w:r>
        <w:rPr>
          <w:rFonts w:ascii="Times New Roman" w:hAnsi="Times New Roman" w:cs="Times New Roman"/>
          <w:kern w:val="2"/>
          <w:sz w:val="21"/>
          <w:szCs w:val="24"/>
        </w:rPr>
        <w:t>—人参皂苷对照品峰面积；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 xml:space="preserve">C </w:t>
      </w:r>
      <w:r>
        <w:rPr>
          <w:rFonts w:ascii="Times New Roman" w:hAnsi="Times New Roman" w:cs="Times New Roman"/>
          <w:kern w:val="2"/>
          <w:sz w:val="21"/>
          <w:szCs w:val="24"/>
          <w:vertAlign w:val="subscript"/>
        </w:rPr>
        <w:t>对</w:t>
      </w:r>
      <w:r>
        <w:rPr>
          <w:rFonts w:ascii="Times New Roman" w:hAnsi="Times New Roman" w:cs="Times New Roman"/>
          <w:kern w:val="2"/>
          <w:sz w:val="21"/>
          <w:szCs w:val="24"/>
        </w:rPr>
        <w:t>—人参皂苷对照品溶液浓度，mg/mL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>M—样品质量，g；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>V—样品溶液总体积，即 10 mL；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>1000—单位换算系数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【储存】成品西洋参应储存在清洁卫生、阴凉干燥（温度不超过 20 度、相对湿度不高于 75%）、通风、防潮、防虫蛀、无异味的库房中，定期检查西洋参的储存情况。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【产品</w:t>
      </w:r>
      <w:r>
        <w:rPr>
          <w:rFonts w:ascii="Times New Roman" w:hAnsi="Times New Roman" w:cs="Times New Roman"/>
          <w:kern w:val="2"/>
          <w:sz w:val="21"/>
          <w:szCs w:val="24"/>
        </w:rPr>
        <w:t>剂型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及</w:t>
      </w:r>
      <w:r>
        <w:rPr>
          <w:rFonts w:ascii="Times New Roman" w:hAnsi="Times New Roman" w:cs="Times New Roman"/>
          <w:kern w:val="2"/>
          <w:sz w:val="21"/>
          <w:szCs w:val="24"/>
        </w:rPr>
        <w:t>生产工艺要求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】片剂（含片、咀嚼片、口服片）、硬胶囊、软胶囊、粉剂、口服溶液、颗粒剂，茶剂（不含茶叶）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西洋参原料在</w:t>
      </w:r>
      <w:r>
        <w:rPr>
          <w:rFonts w:ascii="Times New Roman" w:hAnsi="Times New Roman" w:cs="Times New Roman"/>
          <w:kern w:val="2"/>
          <w:sz w:val="21"/>
          <w:szCs w:val="24"/>
        </w:rPr>
        <w:t>产品备案时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，</w:t>
      </w:r>
      <w:r>
        <w:rPr>
          <w:rFonts w:ascii="Times New Roman" w:hAnsi="Times New Roman" w:cs="Times New Roman"/>
          <w:kern w:val="2"/>
          <w:sz w:val="21"/>
          <w:szCs w:val="24"/>
        </w:rPr>
        <w:t>允许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仅</w:t>
      </w:r>
      <w:r>
        <w:rPr>
          <w:rFonts w:ascii="Times New Roman" w:hAnsi="Times New Roman" w:cs="Times New Roman"/>
          <w:kern w:val="2"/>
          <w:sz w:val="21"/>
          <w:szCs w:val="24"/>
        </w:rPr>
        <w:t>以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物理</w:t>
      </w:r>
      <w:r>
        <w:rPr>
          <w:rFonts w:ascii="Times New Roman" w:hAnsi="Times New Roman" w:cs="Times New Roman"/>
          <w:kern w:val="2"/>
          <w:sz w:val="21"/>
          <w:szCs w:val="24"/>
        </w:rPr>
        <w:t>粉碎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，</w:t>
      </w:r>
      <w:r>
        <w:rPr>
          <w:rFonts w:ascii="Times New Roman" w:hAnsi="Times New Roman" w:cs="Times New Roman"/>
          <w:kern w:val="2"/>
          <w:sz w:val="21"/>
          <w:szCs w:val="24"/>
        </w:rPr>
        <w:t>或仅经水提取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的</w:t>
      </w:r>
      <w:r>
        <w:rPr>
          <w:rFonts w:ascii="Times New Roman" w:hAnsi="Times New Roman" w:cs="Times New Roman"/>
          <w:kern w:val="2"/>
          <w:sz w:val="21"/>
          <w:szCs w:val="24"/>
        </w:rPr>
        <w:t>生产工艺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，制成</w:t>
      </w:r>
      <w:r>
        <w:rPr>
          <w:rFonts w:ascii="Times New Roman" w:hAnsi="Times New Roman" w:cs="Times New Roman"/>
          <w:kern w:val="2"/>
          <w:sz w:val="21"/>
          <w:szCs w:val="24"/>
        </w:rPr>
        <w:t>产品时不应再有其他引起物质基础发生改变的生产工艺。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西洋参粉碎的参考</w:t>
      </w:r>
      <w:r>
        <w:rPr>
          <w:rFonts w:ascii="Times New Roman" w:hAnsi="Times New Roman" w:cs="Times New Roman"/>
          <w:kern w:val="2"/>
          <w:sz w:val="21"/>
          <w:szCs w:val="24"/>
        </w:rPr>
        <w:t>主要工艺为：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粉碎、灭菌（一般采取辐照灭菌和湿热灭菌等灭菌方法），干燥（60-70℃），过筛（60-100 目）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人参</w:t>
      </w:r>
      <w:r>
        <w:rPr>
          <w:rFonts w:ascii="Times New Roman" w:hAnsi="Times New Roman" w:cs="Times New Roman"/>
          <w:kern w:val="2"/>
          <w:sz w:val="21"/>
          <w:szCs w:val="24"/>
        </w:rPr>
        <w:t>经水提取的主要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参考</w:t>
      </w:r>
      <w:r>
        <w:rPr>
          <w:rFonts w:ascii="Times New Roman" w:hAnsi="Times New Roman" w:cs="Times New Roman"/>
          <w:kern w:val="2"/>
          <w:sz w:val="21"/>
          <w:szCs w:val="24"/>
        </w:rPr>
        <w:t>工艺为：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粉碎</w:t>
      </w:r>
      <w:r>
        <w:rPr>
          <w:rFonts w:ascii="Times New Roman" w:hAnsi="Times New Roman" w:cs="Times New Roman"/>
          <w:kern w:val="2"/>
          <w:sz w:val="21"/>
          <w:szCs w:val="24"/>
        </w:rPr>
        <w:t>、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过筛（10 目），水煎 2</w:t>
      </w:r>
      <w:r>
        <w:rPr>
          <w:rFonts w:ascii="Times New Roman" w:hAnsi="Times New Roman" w:cs="Times New Roman"/>
          <w:kern w:val="2"/>
          <w:sz w:val="21"/>
          <w:szCs w:val="24"/>
        </w:rPr>
        <w:t>-3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 xml:space="preserve"> 次（水量：8-10 倍，时间：1-2h），过滤</w:t>
      </w:r>
      <w:r>
        <w:rPr>
          <w:rFonts w:ascii="Times New Roman" w:hAnsi="Times New Roman" w:cs="Times New Roman"/>
          <w:kern w:val="2"/>
          <w:sz w:val="21"/>
          <w:szCs w:val="24"/>
        </w:rPr>
        <w:t>，浓缩，干燥</w:t>
      </w:r>
    </w:p>
    <w:p>
      <w:pPr>
        <w:widowControl w:val="0"/>
        <w:ind w:firstLine="560" w:firstLineChars="200"/>
        <w:jc w:val="center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ascii="仿宋" w:hAnsi="仿宋" w:eastAsia="仿宋" w:cstheme="minorBidi"/>
          <w:kern w:val="2"/>
          <w:sz w:val="28"/>
          <w:szCs w:val="28"/>
        </w:rPr>
        <w:t>——————————</w:t>
      </w:r>
    </w:p>
    <w:p>
      <w:pPr>
        <w:widowControl w:val="0"/>
        <w:ind w:firstLine="560" w:firstLineChars="200"/>
        <w:jc w:val="both"/>
        <w:rPr>
          <w:rFonts w:ascii="仿宋" w:hAnsi="仿宋" w:eastAsia="仿宋" w:cstheme="minorBidi"/>
          <w:kern w:val="2"/>
          <w:sz w:val="28"/>
          <w:szCs w:val="28"/>
        </w:rPr>
      </w:pPr>
    </w:p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 w:eastAsiaTheme="minorEastAsia"/>
        <w:kern w:val="0"/>
        <w:sz w:val="22"/>
        <w:szCs w:val="22"/>
        <w:lang w:val="en-US" w:eastAsia="zh-CN" w:bidi="ar-SA"/>
      </w:rPr>
      <w:id w:val="-1724208596"/>
      <w:docPartObj>
        <w:docPartGallery w:val="autotext"/>
      </w:docPartObj>
    </w:sdtPr>
    <w:sdtEndPr>
      <w:rPr>
        <w:rFonts w:ascii="Times New Roman" w:hAnsi="Times New Roman" w:cs="Times New Roman" w:eastAsiaTheme="minorEastAsia"/>
        <w:kern w:val="0"/>
        <w:sz w:val="22"/>
        <w:szCs w:val="22"/>
        <w:lang w:val="en-US" w:eastAsia="zh-CN" w:bidi="ar-SA"/>
      </w:rPr>
    </w:sdtEndPr>
    <w:sdtContent>
      <w:p>
        <w:pPr>
          <w:pStyle w:val="2"/>
          <w:widowControl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  <w:widowControl/>
      <w:jc w:val="lef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B5D4D"/>
    <w:rsid w:val="41845038"/>
    <w:rsid w:val="6A8B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 w:eastAsiaTheme="minorEastAsia"/>
      <w:kern w:val="0"/>
      <w:sz w:val="18"/>
      <w:szCs w:val="18"/>
      <w:lang w:val="en-US" w:eastAsia="zh-CN" w:bidi="ar-SA"/>
    </w:rPr>
  </w:style>
  <w:style w:type="table" w:styleId="4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2022-10-25T06:31:00Z</dcterms:created>
  <dc:creator>王丹</dc:creator>
  <cp:lastModifiedBy>王丹</cp:lastModifiedBy>
  <dcterms:modified xsi:type="dcterms:W3CDTF">2022-10-25T06:36:33Z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