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sz w:val="36"/>
          <w:szCs w:val="36"/>
        </w:rPr>
      </w:pPr>
      <w:r>
        <w:rPr>
          <w:rFonts w:ascii="黑体" w:hAnsi="黑体" w:eastAsia="黑体"/>
          <w:sz w:val="36"/>
          <w:szCs w:val="36"/>
        </w:rPr>
        <w:t>经营者集中简易案件公示表</w:t>
      </w:r>
    </w:p>
    <w:p>
      <w:pPr>
        <w:spacing w:line="440" w:lineRule="exact"/>
        <w:rPr>
          <w:rFonts w:ascii="Times New Roman" w:hAnsi="Times New Roman"/>
          <w:sz w:val="28"/>
          <w:szCs w:val="28"/>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jc w:val="center"/>
              <w:rPr>
                <w:rFonts w:ascii="宋体" w:hAnsi="宋体"/>
                <w:color w:val="333333"/>
                <w:kern w:val="0"/>
                <w:sz w:val="24"/>
                <w:szCs w:val="24"/>
              </w:rPr>
            </w:pPr>
            <w:r>
              <w:rPr>
                <w:rFonts w:ascii="宋体" w:hAnsi="宋体"/>
                <w:color w:val="333333"/>
                <w:kern w:val="0"/>
                <w:sz w:val="24"/>
                <w:szCs w:val="24"/>
              </w:rPr>
              <w:t>案件名称</w:t>
            </w:r>
          </w:p>
        </w:tc>
        <w:tc>
          <w:tcPr>
            <w:tcW w:w="6949" w:type="dxa"/>
            <w:gridSpan w:val="2"/>
          </w:tcPr>
          <w:p>
            <w:pPr>
              <w:rPr>
                <w:rFonts w:ascii="宋体" w:hAnsi="宋体"/>
                <w:color w:val="333333"/>
                <w:kern w:val="0"/>
                <w:sz w:val="24"/>
                <w:szCs w:val="24"/>
              </w:rPr>
            </w:pPr>
            <w:r>
              <w:rPr>
                <w:rFonts w:hint="eastAsia" w:ascii="宋体" w:hAnsi="宋体"/>
                <w:color w:val="333333"/>
                <w:kern w:val="0"/>
                <w:sz w:val="24"/>
                <w:szCs w:val="24"/>
              </w:rPr>
              <w:t>联通创新创业投资有限公司与深圳市腾讯产业创投有限公司新设合营企业案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jc w:val="center"/>
              <w:rPr>
                <w:rFonts w:ascii="宋体" w:hAnsi="宋体"/>
                <w:color w:val="333333"/>
                <w:kern w:val="0"/>
                <w:sz w:val="24"/>
                <w:szCs w:val="24"/>
              </w:rPr>
            </w:pPr>
            <w:r>
              <w:rPr>
                <w:rFonts w:ascii="宋体" w:hAnsi="宋体"/>
                <w:color w:val="333333"/>
                <w:kern w:val="0"/>
                <w:sz w:val="24"/>
                <w:szCs w:val="24"/>
              </w:rPr>
              <w:t>交易概况</w:t>
            </w:r>
          </w:p>
          <w:p>
            <w:pPr>
              <w:jc w:val="center"/>
              <w:rPr>
                <w:rFonts w:ascii="宋体" w:hAnsi="宋体"/>
                <w:color w:val="333333"/>
                <w:kern w:val="0"/>
                <w:sz w:val="24"/>
                <w:szCs w:val="24"/>
              </w:rPr>
            </w:pPr>
            <w:r>
              <w:rPr>
                <w:rFonts w:ascii="宋体" w:hAnsi="宋体"/>
                <w:color w:val="333333"/>
                <w:kern w:val="0"/>
                <w:sz w:val="24"/>
                <w:szCs w:val="24"/>
              </w:rPr>
              <w:t>（限200字内）</w:t>
            </w:r>
          </w:p>
        </w:tc>
        <w:tc>
          <w:tcPr>
            <w:tcW w:w="6949" w:type="dxa"/>
            <w:gridSpan w:val="2"/>
          </w:tcPr>
          <w:p>
            <w:pPr>
              <w:rPr>
                <w:rFonts w:ascii="宋体" w:hAnsi="宋体"/>
                <w:color w:val="333333"/>
                <w:kern w:val="0"/>
                <w:sz w:val="24"/>
                <w:szCs w:val="24"/>
              </w:rPr>
            </w:pPr>
            <w:r>
              <w:rPr>
                <w:rFonts w:hint="eastAsia" w:ascii="宋体" w:hAnsi="宋体"/>
                <w:color w:val="333333"/>
                <w:kern w:val="0"/>
                <w:sz w:val="24"/>
                <w:szCs w:val="24"/>
              </w:rPr>
              <w:t>联通创新创业投资有限公司（“联通创投”）与深圳市腾讯产业创投有限公司（“腾讯产投”）等签署协议，各方拟共同设立一家合营企业。该合营企业拟主要从事内容分发网络（CDN）和边缘计算业务。交易完成后，联通创投、腾讯产投、有关员工持股平台将分别持有合营企业4</w:t>
            </w:r>
            <w:r>
              <w:rPr>
                <w:rFonts w:ascii="宋体" w:hAnsi="宋体"/>
                <w:color w:val="333333"/>
                <w:kern w:val="0"/>
                <w:sz w:val="24"/>
                <w:szCs w:val="24"/>
              </w:rPr>
              <w:t>8</w:t>
            </w:r>
            <w:r>
              <w:rPr>
                <w:rFonts w:hint="eastAsia" w:ascii="宋体" w:hAnsi="宋体"/>
                <w:color w:val="333333"/>
                <w:kern w:val="0"/>
                <w:sz w:val="24"/>
                <w:szCs w:val="24"/>
              </w:rPr>
              <w:t>%、4</w:t>
            </w:r>
            <w:r>
              <w:rPr>
                <w:rFonts w:ascii="宋体" w:hAnsi="宋体"/>
                <w:color w:val="333333"/>
                <w:kern w:val="0"/>
                <w:sz w:val="24"/>
                <w:szCs w:val="24"/>
              </w:rPr>
              <w:t>2</w:t>
            </w:r>
            <w:r>
              <w:rPr>
                <w:rFonts w:hint="eastAsia" w:ascii="宋体" w:hAnsi="宋体"/>
                <w:color w:val="333333"/>
                <w:kern w:val="0"/>
                <w:sz w:val="24"/>
                <w:szCs w:val="24"/>
              </w:rPr>
              <w:t>%、1</w:t>
            </w:r>
            <w:r>
              <w:rPr>
                <w:rFonts w:ascii="宋体" w:hAnsi="宋体"/>
                <w:color w:val="333333"/>
                <w:kern w:val="0"/>
                <w:sz w:val="24"/>
                <w:szCs w:val="24"/>
              </w:rPr>
              <w:t>0</w:t>
            </w:r>
            <w:r>
              <w:rPr>
                <w:rFonts w:hint="eastAsia" w:ascii="宋体" w:hAnsi="宋体"/>
                <w:color w:val="333333"/>
                <w:kern w:val="0"/>
                <w:sz w:val="24"/>
                <w:szCs w:val="24"/>
              </w:rPr>
              <w:t>%的股权，联通创投、腾讯产投共同控制合营企业。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jc w:val="center"/>
              <w:rPr>
                <w:rFonts w:ascii="宋体" w:hAnsi="宋体"/>
                <w:color w:val="333333"/>
                <w:kern w:val="0"/>
                <w:sz w:val="24"/>
                <w:szCs w:val="24"/>
              </w:rPr>
            </w:pPr>
            <w:r>
              <w:rPr>
                <w:rFonts w:ascii="宋体" w:hAnsi="宋体"/>
                <w:color w:val="333333"/>
                <w:kern w:val="0"/>
                <w:sz w:val="24"/>
                <w:szCs w:val="24"/>
              </w:rPr>
              <w:t>参与集中的</w:t>
            </w:r>
          </w:p>
          <w:p>
            <w:pPr>
              <w:jc w:val="center"/>
              <w:rPr>
                <w:rFonts w:ascii="宋体" w:hAnsi="宋体"/>
                <w:color w:val="333333"/>
                <w:kern w:val="0"/>
                <w:sz w:val="24"/>
                <w:szCs w:val="24"/>
              </w:rPr>
            </w:pPr>
            <w:r>
              <w:rPr>
                <w:rFonts w:ascii="宋体" w:hAnsi="宋体"/>
                <w:color w:val="333333"/>
                <w:kern w:val="0"/>
                <w:sz w:val="24"/>
                <w:szCs w:val="24"/>
              </w:rPr>
              <w:t>经营者简介</w:t>
            </w:r>
            <w:r>
              <w:rPr>
                <w:rFonts w:hint="eastAsia" w:ascii="宋体" w:hAnsi="宋体"/>
                <w:color w:val="333333"/>
                <w:kern w:val="0"/>
                <w:sz w:val="24"/>
                <w:szCs w:val="24"/>
              </w:rPr>
              <w:t>（每个限100字以内）</w:t>
            </w:r>
          </w:p>
        </w:tc>
        <w:tc>
          <w:tcPr>
            <w:tcW w:w="1796" w:type="dxa"/>
          </w:tcPr>
          <w:p>
            <w:pPr>
              <w:rPr>
                <w:rFonts w:ascii="宋体" w:hAnsi="宋体"/>
                <w:color w:val="333333"/>
                <w:kern w:val="0"/>
                <w:sz w:val="24"/>
                <w:szCs w:val="24"/>
              </w:rPr>
            </w:pPr>
            <w:r>
              <w:rPr>
                <w:rFonts w:ascii="宋体" w:hAnsi="宋体"/>
                <w:color w:val="333333"/>
                <w:kern w:val="0"/>
                <w:sz w:val="24"/>
                <w:szCs w:val="24"/>
              </w:rPr>
              <w:t>1、</w:t>
            </w:r>
            <w:r>
              <w:rPr>
                <w:rFonts w:hint="eastAsia" w:ascii="宋体" w:hAnsi="宋体"/>
                <w:color w:val="333333"/>
                <w:kern w:val="0"/>
                <w:sz w:val="24"/>
                <w:szCs w:val="24"/>
              </w:rPr>
              <w:t>联通创投</w:t>
            </w:r>
          </w:p>
        </w:tc>
        <w:tc>
          <w:tcPr>
            <w:tcW w:w="5153" w:type="dxa"/>
          </w:tcPr>
          <w:p>
            <w:pPr>
              <w:rPr>
                <w:rFonts w:ascii="宋体" w:hAnsi="宋体"/>
                <w:color w:val="333333"/>
                <w:kern w:val="0"/>
                <w:sz w:val="24"/>
                <w:szCs w:val="24"/>
              </w:rPr>
            </w:pPr>
            <w:r>
              <w:rPr>
                <w:rFonts w:hint="eastAsia" w:ascii="宋体" w:hAnsi="宋体"/>
                <w:color w:val="333333"/>
                <w:kern w:val="0"/>
                <w:sz w:val="24"/>
                <w:szCs w:val="24"/>
              </w:rPr>
              <w:t>联通创投于2014年4月29日成立于中国北京市，主要业务为以企业自有资金进行投资等。</w:t>
            </w:r>
          </w:p>
          <w:p>
            <w:pPr>
              <w:rPr>
                <w:rFonts w:ascii="宋体" w:hAnsi="宋体"/>
                <w:color w:val="333333"/>
                <w:kern w:val="0"/>
                <w:sz w:val="24"/>
                <w:szCs w:val="24"/>
              </w:rPr>
            </w:pPr>
            <w:r>
              <w:rPr>
                <w:rFonts w:hint="eastAsia" w:ascii="宋体" w:hAnsi="宋体"/>
                <w:color w:val="333333"/>
                <w:kern w:val="0"/>
                <w:sz w:val="24"/>
                <w:szCs w:val="24"/>
              </w:rPr>
              <w:t>联通创投最终控制人为中国联合网络通信集团有限公司，主要业务为通信、通信设施服务、网络接入、电信增值业务、相关系统集成业务等。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vAlign w:val="center"/>
          </w:tcPr>
          <w:p>
            <w:pPr>
              <w:jc w:val="center"/>
              <w:rPr>
                <w:rFonts w:ascii="宋体" w:hAnsi="宋体"/>
                <w:color w:val="333333"/>
                <w:kern w:val="0"/>
                <w:sz w:val="24"/>
                <w:szCs w:val="24"/>
              </w:rPr>
            </w:pPr>
          </w:p>
        </w:tc>
        <w:tc>
          <w:tcPr>
            <w:tcW w:w="1796" w:type="dxa"/>
          </w:tcPr>
          <w:p>
            <w:pPr>
              <w:rPr>
                <w:rFonts w:ascii="宋体" w:hAnsi="宋体"/>
                <w:color w:val="333333"/>
                <w:kern w:val="0"/>
                <w:sz w:val="24"/>
                <w:szCs w:val="24"/>
              </w:rPr>
            </w:pPr>
            <w:r>
              <w:rPr>
                <w:rFonts w:ascii="宋体" w:hAnsi="宋体"/>
                <w:color w:val="333333"/>
                <w:kern w:val="0"/>
                <w:sz w:val="24"/>
                <w:szCs w:val="24"/>
              </w:rPr>
              <w:t>2、</w:t>
            </w:r>
            <w:r>
              <w:rPr>
                <w:rFonts w:hint="eastAsia" w:ascii="宋体" w:hAnsi="宋体"/>
                <w:color w:val="333333"/>
                <w:kern w:val="0"/>
                <w:sz w:val="24"/>
                <w:szCs w:val="24"/>
              </w:rPr>
              <w:t>腾讯产投</w:t>
            </w:r>
          </w:p>
        </w:tc>
        <w:tc>
          <w:tcPr>
            <w:tcW w:w="5153" w:type="dxa"/>
          </w:tcPr>
          <w:p>
            <w:pPr>
              <w:rPr>
                <w:rFonts w:ascii="宋体" w:hAnsi="宋体"/>
                <w:color w:val="333333"/>
                <w:kern w:val="0"/>
                <w:sz w:val="24"/>
                <w:szCs w:val="24"/>
              </w:rPr>
            </w:pPr>
            <w:r>
              <w:rPr>
                <w:rFonts w:hint="eastAsia" w:ascii="宋体" w:hAnsi="宋体"/>
                <w:color w:val="333333"/>
                <w:kern w:val="0"/>
                <w:sz w:val="24"/>
                <w:szCs w:val="24"/>
              </w:rPr>
              <w:t>腾讯产投于2019年9月17日成立于中国广东省，主要业务为创业投资、企业管理咨询、投资咨询。</w:t>
            </w:r>
          </w:p>
          <w:p>
            <w:pPr>
              <w:rPr>
                <w:rFonts w:ascii="宋体" w:hAnsi="宋体"/>
                <w:color w:val="333333"/>
                <w:kern w:val="0"/>
                <w:sz w:val="24"/>
                <w:szCs w:val="24"/>
              </w:rPr>
            </w:pPr>
            <w:r>
              <w:rPr>
                <w:rFonts w:hint="eastAsia" w:ascii="宋体" w:hAnsi="宋体"/>
                <w:color w:val="333333"/>
                <w:kern w:val="0"/>
                <w:sz w:val="24"/>
                <w:szCs w:val="24"/>
              </w:rPr>
              <w:t>腾讯产投的最终控制人为腾讯控股有限公司，主要业务包括通信社交、数字内容、金融科技等。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jc w:val="center"/>
              <w:rPr>
                <w:rFonts w:ascii="宋体" w:hAnsi="宋体"/>
                <w:color w:val="333333"/>
                <w:kern w:val="0"/>
                <w:sz w:val="24"/>
                <w:szCs w:val="24"/>
              </w:rPr>
            </w:pPr>
            <w:r>
              <w:rPr>
                <w:rFonts w:ascii="宋体" w:hAnsi="宋体"/>
                <w:color w:val="333333"/>
                <w:kern w:val="0"/>
                <w:sz w:val="24"/>
                <w:szCs w:val="24"/>
              </w:rPr>
              <w:t>简易案件理由（可以单选，也可以多选）</w:t>
            </w:r>
          </w:p>
        </w:tc>
        <w:tc>
          <w:tcPr>
            <w:tcW w:w="6949" w:type="dxa"/>
            <w:gridSpan w:val="2"/>
          </w:tcPr>
          <w:p>
            <w:pPr>
              <w:rPr>
                <w:rFonts w:ascii="宋体" w:hAnsi="宋体"/>
                <w:color w:val="333333"/>
                <w:kern w:val="0"/>
                <w:sz w:val="24"/>
                <w:szCs w:val="24"/>
              </w:rPr>
            </w:pPr>
            <w:r>
              <w:rPr>
                <w:rFonts w:ascii="宋体" w:hAnsi="宋体"/>
                <w:sz w:val="24"/>
                <w:szCs w:val="24"/>
              </w:rPr>
              <w:sym w:font="Wingdings" w:char="F0FE"/>
            </w:r>
            <w:r>
              <w:rPr>
                <w:rFonts w:ascii="宋体" w:hAnsi="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jc w:val="center"/>
              <w:rPr>
                <w:rFonts w:ascii="宋体" w:hAnsi="宋体"/>
                <w:color w:val="333333"/>
                <w:kern w:val="0"/>
                <w:sz w:val="24"/>
                <w:szCs w:val="24"/>
              </w:rPr>
            </w:pPr>
          </w:p>
        </w:tc>
        <w:tc>
          <w:tcPr>
            <w:tcW w:w="6949" w:type="dxa"/>
            <w:gridSpan w:val="2"/>
          </w:tcPr>
          <w:p>
            <w:pPr>
              <w:rPr>
                <w:rFonts w:ascii="宋体" w:hAnsi="宋体"/>
                <w:color w:val="333333"/>
                <w:kern w:val="0"/>
                <w:sz w:val="24"/>
                <w:szCs w:val="24"/>
              </w:rPr>
            </w:pPr>
            <w:r>
              <w:rPr>
                <w:rFonts w:ascii="宋体" w:hAnsi="宋体"/>
                <w:sz w:val="24"/>
                <w:szCs w:val="24"/>
              </w:rPr>
              <w:sym w:font="Wingdings" w:char="F0FE"/>
            </w:r>
            <w:r>
              <w:rPr>
                <w:rFonts w:ascii="宋体" w:hAnsi="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jc w:val="center"/>
              <w:rPr>
                <w:rFonts w:ascii="宋体" w:hAnsi="宋体"/>
                <w:color w:val="333333"/>
                <w:kern w:val="0"/>
                <w:sz w:val="24"/>
                <w:szCs w:val="24"/>
              </w:rPr>
            </w:pPr>
          </w:p>
        </w:tc>
        <w:tc>
          <w:tcPr>
            <w:tcW w:w="6949" w:type="dxa"/>
            <w:gridSpan w:val="2"/>
          </w:tcPr>
          <w:p>
            <w:pPr>
              <w:rPr>
                <w:rFonts w:ascii="宋体" w:hAnsi="宋体"/>
                <w:color w:val="333333"/>
                <w:kern w:val="0"/>
                <w:sz w:val="24"/>
                <w:szCs w:val="24"/>
              </w:rPr>
            </w:pPr>
            <w:r>
              <w:rPr>
                <w:rFonts w:ascii="宋体" w:hAnsi="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jc w:val="center"/>
              <w:rPr>
                <w:rFonts w:ascii="宋体" w:hAnsi="宋体"/>
                <w:color w:val="333333"/>
                <w:kern w:val="0"/>
                <w:sz w:val="24"/>
                <w:szCs w:val="24"/>
              </w:rPr>
            </w:pPr>
          </w:p>
        </w:tc>
        <w:tc>
          <w:tcPr>
            <w:tcW w:w="6949" w:type="dxa"/>
            <w:gridSpan w:val="2"/>
          </w:tcPr>
          <w:p>
            <w:pPr>
              <w:rPr>
                <w:rFonts w:ascii="宋体" w:hAnsi="宋体"/>
                <w:color w:val="333333"/>
                <w:kern w:val="0"/>
                <w:sz w:val="24"/>
                <w:szCs w:val="24"/>
              </w:rPr>
            </w:pPr>
            <w:r>
              <w:rPr>
                <w:rFonts w:ascii="宋体" w:hAnsi="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jc w:val="center"/>
              <w:rPr>
                <w:rFonts w:ascii="宋体" w:hAnsi="宋体"/>
                <w:color w:val="333333"/>
                <w:kern w:val="0"/>
                <w:sz w:val="24"/>
                <w:szCs w:val="24"/>
              </w:rPr>
            </w:pPr>
          </w:p>
        </w:tc>
        <w:tc>
          <w:tcPr>
            <w:tcW w:w="6949" w:type="dxa"/>
            <w:gridSpan w:val="2"/>
          </w:tcPr>
          <w:p>
            <w:pPr>
              <w:rPr>
                <w:rFonts w:ascii="宋体" w:hAnsi="宋体"/>
                <w:color w:val="333333"/>
                <w:kern w:val="0"/>
                <w:sz w:val="24"/>
                <w:szCs w:val="24"/>
              </w:rPr>
            </w:pPr>
            <w:r>
              <w:rPr>
                <w:rFonts w:ascii="宋体" w:hAnsi="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jc w:val="center"/>
              <w:rPr>
                <w:rFonts w:ascii="宋体" w:hAnsi="宋体"/>
                <w:color w:val="333333"/>
                <w:kern w:val="0"/>
                <w:sz w:val="24"/>
                <w:szCs w:val="24"/>
              </w:rPr>
            </w:pPr>
          </w:p>
        </w:tc>
        <w:tc>
          <w:tcPr>
            <w:tcW w:w="6949" w:type="dxa"/>
            <w:gridSpan w:val="2"/>
          </w:tcPr>
          <w:p>
            <w:pPr>
              <w:rPr>
                <w:rFonts w:ascii="宋体" w:hAnsi="宋体"/>
                <w:color w:val="333333"/>
                <w:kern w:val="0"/>
                <w:sz w:val="24"/>
                <w:szCs w:val="24"/>
              </w:rPr>
            </w:pPr>
            <w:r>
              <w:rPr>
                <w:rFonts w:ascii="宋体" w:hAnsi="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jc w:val="center"/>
              <w:rPr>
                <w:rFonts w:ascii="宋体" w:hAnsi="宋体"/>
                <w:color w:val="333333"/>
                <w:kern w:val="0"/>
                <w:sz w:val="24"/>
                <w:szCs w:val="24"/>
              </w:rPr>
            </w:pPr>
            <w:r>
              <w:rPr>
                <w:rFonts w:ascii="宋体" w:hAnsi="宋体"/>
                <w:color w:val="333333"/>
                <w:kern w:val="0"/>
                <w:sz w:val="24"/>
                <w:szCs w:val="24"/>
              </w:rPr>
              <w:t>备注</w:t>
            </w:r>
          </w:p>
        </w:tc>
        <w:tc>
          <w:tcPr>
            <w:tcW w:w="6949" w:type="dxa"/>
            <w:gridSpan w:val="2"/>
          </w:tcPr>
          <w:p>
            <w:pPr>
              <w:rPr>
                <w:rFonts w:ascii="宋体" w:hAnsi="宋体"/>
                <w:b/>
                <w:bCs/>
                <w:color w:val="333333"/>
                <w:kern w:val="0"/>
                <w:sz w:val="24"/>
                <w:szCs w:val="24"/>
              </w:rPr>
            </w:pPr>
            <w:r>
              <w:rPr>
                <w:rFonts w:hint="eastAsia" w:ascii="宋体" w:hAnsi="宋体"/>
                <w:b/>
                <w:bCs/>
                <w:color w:val="333333"/>
                <w:kern w:val="0"/>
                <w:sz w:val="24"/>
                <w:szCs w:val="24"/>
              </w:rPr>
              <w:t>横向重叠：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1792"/>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tcPr>
                <w:p>
                  <w:pPr>
                    <w:jc w:val="center"/>
                    <w:rPr>
                      <w:rFonts w:ascii="宋体" w:hAnsi="宋体"/>
                      <w:color w:val="333333"/>
                      <w:kern w:val="0"/>
                      <w:sz w:val="24"/>
                      <w:szCs w:val="24"/>
                    </w:rPr>
                  </w:pPr>
                  <w:r>
                    <w:rPr>
                      <w:rFonts w:hint="eastAsia" w:ascii="宋体" w:hAnsi="宋体"/>
                      <w:color w:val="333333"/>
                      <w:kern w:val="0"/>
                      <w:sz w:val="24"/>
                      <w:szCs w:val="24"/>
                    </w:rPr>
                    <w:t>相关商品市场</w:t>
                  </w:r>
                </w:p>
              </w:tc>
              <w:tc>
                <w:tcPr>
                  <w:tcW w:w="1792" w:type="dxa"/>
                </w:tcPr>
                <w:p>
                  <w:pPr>
                    <w:jc w:val="center"/>
                    <w:rPr>
                      <w:rFonts w:ascii="宋体" w:hAnsi="宋体"/>
                      <w:color w:val="333333"/>
                      <w:kern w:val="0"/>
                      <w:sz w:val="24"/>
                      <w:szCs w:val="24"/>
                    </w:rPr>
                  </w:pPr>
                  <w:r>
                    <w:rPr>
                      <w:rFonts w:hint="eastAsia" w:ascii="宋体" w:hAnsi="宋体"/>
                      <w:color w:val="333333"/>
                      <w:kern w:val="0"/>
                      <w:sz w:val="24"/>
                      <w:szCs w:val="24"/>
                    </w:rPr>
                    <w:t>相关地域市场</w:t>
                  </w:r>
                </w:p>
              </w:tc>
              <w:tc>
                <w:tcPr>
                  <w:tcW w:w="2690" w:type="dxa"/>
                </w:tcPr>
                <w:p>
                  <w:pPr>
                    <w:jc w:val="center"/>
                    <w:rPr>
                      <w:rFonts w:ascii="宋体" w:hAnsi="宋体"/>
                      <w:color w:val="333333"/>
                      <w:kern w:val="0"/>
                      <w:sz w:val="24"/>
                      <w:szCs w:val="24"/>
                    </w:rPr>
                  </w:pPr>
                  <w:r>
                    <w:rPr>
                      <w:rFonts w:hint="eastAsia" w:ascii="宋体" w:hAnsi="宋体"/>
                      <w:color w:val="333333"/>
                      <w:kern w:val="0"/>
                      <w:sz w:val="24"/>
                      <w:szCs w:val="24"/>
                    </w:rPr>
                    <w:t>2</w:t>
                  </w:r>
                  <w:r>
                    <w:rPr>
                      <w:rFonts w:ascii="宋体" w:hAnsi="宋体"/>
                      <w:color w:val="333333"/>
                      <w:kern w:val="0"/>
                      <w:sz w:val="24"/>
                      <w:szCs w:val="24"/>
                    </w:rPr>
                    <w:t>021</w:t>
                  </w:r>
                  <w:r>
                    <w:rPr>
                      <w:rFonts w:hint="eastAsia" w:ascii="宋体" w:hAnsi="宋体"/>
                      <w:color w:val="333333"/>
                      <w:kern w:val="0"/>
                      <w:sz w:val="24"/>
                      <w:szCs w:val="24"/>
                    </w:rPr>
                    <w:t>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tcPr>
                <w:p>
                  <w:pPr>
                    <w:rPr>
                      <w:rFonts w:ascii="宋体" w:hAnsi="宋体"/>
                      <w:color w:val="333333"/>
                      <w:kern w:val="0"/>
                      <w:sz w:val="24"/>
                      <w:szCs w:val="24"/>
                    </w:rPr>
                  </w:pPr>
                  <w:r>
                    <w:rPr>
                      <w:rFonts w:hint="eastAsia" w:ascii="宋体" w:hAnsi="宋体"/>
                      <w:color w:val="333333"/>
                      <w:kern w:val="0"/>
                      <w:sz w:val="24"/>
                      <w:szCs w:val="24"/>
                    </w:rPr>
                    <w:t>互联网数据中心（IDC）服务市场</w:t>
                  </w:r>
                </w:p>
              </w:tc>
              <w:tc>
                <w:tcPr>
                  <w:tcW w:w="1792" w:type="dxa"/>
                </w:tcPr>
                <w:p>
                  <w:pPr>
                    <w:rPr>
                      <w:rFonts w:ascii="宋体" w:hAnsi="宋体"/>
                      <w:color w:val="333333"/>
                      <w:kern w:val="0"/>
                      <w:sz w:val="24"/>
                      <w:szCs w:val="24"/>
                    </w:rPr>
                  </w:pPr>
                  <w:r>
                    <w:rPr>
                      <w:rFonts w:hint="eastAsia" w:ascii="宋体" w:hAnsi="宋体"/>
                      <w:color w:val="333333"/>
                      <w:kern w:val="0"/>
                      <w:sz w:val="24"/>
                      <w:szCs w:val="24"/>
                    </w:rPr>
                    <w:t>中国境内</w:t>
                  </w:r>
                </w:p>
              </w:tc>
              <w:tc>
                <w:tcPr>
                  <w:tcW w:w="2690" w:type="dxa"/>
                </w:tcPr>
                <w:p>
                  <w:pPr>
                    <w:rPr>
                      <w:rFonts w:ascii="宋体" w:hAnsi="宋体"/>
                      <w:color w:val="333333"/>
                      <w:kern w:val="0"/>
                      <w:sz w:val="24"/>
                      <w:szCs w:val="24"/>
                    </w:rPr>
                  </w:pPr>
                  <w:r>
                    <w:rPr>
                      <w:rFonts w:hint="eastAsia" w:ascii="宋体" w:hAnsi="宋体"/>
                      <w:color w:val="333333"/>
                      <w:kern w:val="0"/>
                      <w:sz w:val="24"/>
                      <w:szCs w:val="24"/>
                    </w:rPr>
                    <w:t>联通创投：10-15%</w:t>
                  </w:r>
                </w:p>
                <w:p>
                  <w:pPr>
                    <w:rPr>
                      <w:rFonts w:ascii="宋体" w:hAnsi="宋体"/>
                      <w:color w:val="333333"/>
                      <w:kern w:val="0"/>
                      <w:sz w:val="24"/>
                      <w:szCs w:val="24"/>
                    </w:rPr>
                  </w:pPr>
                  <w:r>
                    <w:rPr>
                      <w:rFonts w:hint="eastAsia" w:ascii="宋体" w:hAnsi="宋体"/>
                      <w:color w:val="333333"/>
                      <w:kern w:val="0"/>
                      <w:sz w:val="24"/>
                      <w:szCs w:val="24"/>
                    </w:rPr>
                    <w:t>腾讯产投（自用）：0-5%</w:t>
                  </w:r>
                </w:p>
                <w:p>
                  <w:pPr>
                    <w:rPr>
                      <w:rFonts w:ascii="宋体" w:hAnsi="宋体"/>
                      <w:color w:val="333333"/>
                      <w:kern w:val="0"/>
                      <w:sz w:val="24"/>
                      <w:szCs w:val="24"/>
                    </w:rPr>
                  </w:pPr>
                  <w:r>
                    <w:rPr>
                      <w:rFonts w:hint="eastAsia" w:ascii="宋体" w:hAnsi="宋体"/>
                      <w:color w:val="333333"/>
                      <w:kern w:val="0"/>
                      <w:sz w:val="24"/>
                      <w:szCs w:val="24"/>
                    </w:rPr>
                    <w:t>各方合计：10-15%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1" w:type="dxa"/>
                </w:tcPr>
                <w:p>
                  <w:pPr>
                    <w:rPr>
                      <w:rFonts w:ascii="宋体" w:hAnsi="宋体"/>
                      <w:color w:val="333333"/>
                      <w:kern w:val="0"/>
                      <w:sz w:val="24"/>
                      <w:szCs w:val="24"/>
                    </w:rPr>
                  </w:pPr>
                  <w:r>
                    <w:rPr>
                      <w:rFonts w:hint="eastAsia" w:ascii="宋体" w:hAnsi="宋体"/>
                      <w:color w:val="333333"/>
                      <w:kern w:val="0"/>
                      <w:sz w:val="24"/>
                      <w:szCs w:val="24"/>
                    </w:rPr>
                    <w:t>内容分发网络（CDN）服务市场</w:t>
                  </w:r>
                </w:p>
              </w:tc>
              <w:tc>
                <w:tcPr>
                  <w:tcW w:w="1792" w:type="dxa"/>
                </w:tcPr>
                <w:p>
                  <w:pPr>
                    <w:rPr>
                      <w:rFonts w:ascii="宋体" w:hAnsi="宋体"/>
                      <w:color w:val="333333"/>
                      <w:kern w:val="0"/>
                      <w:sz w:val="24"/>
                      <w:szCs w:val="24"/>
                    </w:rPr>
                  </w:pPr>
                  <w:r>
                    <w:rPr>
                      <w:rFonts w:hint="eastAsia" w:ascii="宋体" w:hAnsi="宋体"/>
                      <w:color w:val="333333"/>
                      <w:kern w:val="0"/>
                      <w:sz w:val="24"/>
                      <w:szCs w:val="24"/>
                    </w:rPr>
                    <w:t>中国境内</w:t>
                  </w:r>
                </w:p>
              </w:tc>
              <w:tc>
                <w:tcPr>
                  <w:tcW w:w="2690" w:type="dxa"/>
                </w:tcPr>
                <w:p>
                  <w:pPr>
                    <w:rPr>
                      <w:rFonts w:ascii="宋体" w:hAnsi="宋体"/>
                      <w:color w:val="333333"/>
                      <w:kern w:val="0"/>
                      <w:sz w:val="24"/>
                      <w:szCs w:val="24"/>
                    </w:rPr>
                  </w:pPr>
                  <w:r>
                    <w:rPr>
                      <w:rFonts w:hint="eastAsia" w:ascii="宋体" w:hAnsi="宋体"/>
                      <w:color w:val="333333"/>
                      <w:kern w:val="0"/>
                      <w:sz w:val="24"/>
                      <w:szCs w:val="24"/>
                    </w:rPr>
                    <w:t>联通创投：0-5%</w:t>
                  </w:r>
                </w:p>
                <w:p>
                  <w:pPr>
                    <w:rPr>
                      <w:rFonts w:ascii="宋体" w:hAnsi="宋体"/>
                      <w:color w:val="333333"/>
                      <w:kern w:val="0"/>
                      <w:sz w:val="24"/>
                      <w:szCs w:val="24"/>
                    </w:rPr>
                  </w:pPr>
                  <w:r>
                    <w:rPr>
                      <w:rFonts w:hint="eastAsia" w:ascii="宋体" w:hAnsi="宋体"/>
                      <w:color w:val="333333"/>
                      <w:kern w:val="0"/>
                      <w:sz w:val="24"/>
                      <w:szCs w:val="24"/>
                    </w:rPr>
                    <w:t>腾讯产投：5-10%</w:t>
                  </w:r>
                </w:p>
                <w:p>
                  <w:pPr>
                    <w:rPr>
                      <w:rFonts w:ascii="宋体" w:hAnsi="宋体"/>
                      <w:color w:val="333333"/>
                      <w:kern w:val="0"/>
                      <w:sz w:val="24"/>
                      <w:szCs w:val="24"/>
                    </w:rPr>
                  </w:pPr>
                  <w:r>
                    <w:rPr>
                      <w:rFonts w:hint="eastAsia" w:ascii="宋体" w:hAnsi="宋体"/>
                      <w:color w:val="333333"/>
                      <w:kern w:val="0"/>
                      <w:sz w:val="24"/>
                      <w:szCs w:val="24"/>
                    </w:rPr>
                    <w:t>合营企业（预计）：0-5%</w:t>
                  </w:r>
                </w:p>
                <w:p>
                  <w:pPr>
                    <w:rPr>
                      <w:rFonts w:ascii="宋体" w:hAnsi="宋体"/>
                      <w:color w:val="333333"/>
                      <w:kern w:val="0"/>
                      <w:sz w:val="24"/>
                      <w:szCs w:val="24"/>
                    </w:rPr>
                  </w:pPr>
                  <w:r>
                    <w:rPr>
                      <w:rFonts w:hint="eastAsia" w:ascii="宋体" w:hAnsi="宋体"/>
                      <w:color w:val="333333"/>
                      <w:kern w:val="0"/>
                      <w:sz w:val="24"/>
                      <w:szCs w:val="24"/>
                    </w:rPr>
                    <w:t>各方合计：5-10%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1" w:type="dxa"/>
                </w:tcPr>
                <w:p>
                  <w:pPr>
                    <w:rPr>
                      <w:rFonts w:ascii="宋体" w:hAnsi="宋体"/>
                      <w:color w:val="333333"/>
                      <w:kern w:val="0"/>
                      <w:sz w:val="24"/>
                      <w:szCs w:val="24"/>
                    </w:rPr>
                  </w:pPr>
                  <w:r>
                    <w:rPr>
                      <w:rFonts w:hint="eastAsia" w:ascii="宋体" w:hAnsi="宋体"/>
                      <w:color w:val="333333"/>
                      <w:kern w:val="0"/>
                      <w:sz w:val="24"/>
                      <w:szCs w:val="24"/>
                    </w:rPr>
                    <w:t>边缘计算服务市场</w:t>
                  </w:r>
                </w:p>
              </w:tc>
              <w:tc>
                <w:tcPr>
                  <w:tcW w:w="1792" w:type="dxa"/>
                </w:tcPr>
                <w:p>
                  <w:pPr>
                    <w:rPr>
                      <w:rFonts w:ascii="宋体" w:hAnsi="宋体"/>
                      <w:color w:val="333333"/>
                      <w:kern w:val="0"/>
                      <w:sz w:val="24"/>
                      <w:szCs w:val="24"/>
                    </w:rPr>
                  </w:pPr>
                  <w:r>
                    <w:rPr>
                      <w:rFonts w:hint="eastAsia" w:ascii="宋体" w:hAnsi="宋体"/>
                      <w:color w:val="333333"/>
                      <w:kern w:val="0"/>
                      <w:sz w:val="24"/>
                      <w:szCs w:val="24"/>
                    </w:rPr>
                    <w:t>中国境内</w:t>
                  </w:r>
                </w:p>
              </w:tc>
              <w:tc>
                <w:tcPr>
                  <w:tcW w:w="2690" w:type="dxa"/>
                </w:tcPr>
                <w:p>
                  <w:pPr>
                    <w:rPr>
                      <w:rFonts w:ascii="宋体" w:hAnsi="宋体"/>
                      <w:color w:val="333333"/>
                      <w:kern w:val="0"/>
                      <w:sz w:val="24"/>
                      <w:szCs w:val="24"/>
                    </w:rPr>
                  </w:pPr>
                  <w:r>
                    <w:rPr>
                      <w:rFonts w:hint="eastAsia" w:ascii="宋体" w:hAnsi="宋体"/>
                      <w:color w:val="333333"/>
                      <w:kern w:val="0"/>
                      <w:sz w:val="24"/>
                      <w:szCs w:val="24"/>
                    </w:rPr>
                    <w:t>腾讯产投：0-5%</w:t>
                  </w:r>
                </w:p>
                <w:p>
                  <w:pPr>
                    <w:rPr>
                      <w:rFonts w:ascii="宋体" w:hAnsi="宋体"/>
                      <w:color w:val="333333"/>
                      <w:kern w:val="0"/>
                      <w:sz w:val="24"/>
                      <w:szCs w:val="24"/>
                    </w:rPr>
                  </w:pPr>
                  <w:r>
                    <w:rPr>
                      <w:rFonts w:hint="eastAsia" w:ascii="宋体" w:hAnsi="宋体"/>
                      <w:color w:val="333333"/>
                      <w:kern w:val="0"/>
                      <w:sz w:val="24"/>
                      <w:szCs w:val="24"/>
                    </w:rPr>
                    <w:t>合营企业（预计）：0-5%</w:t>
                  </w:r>
                </w:p>
                <w:p>
                  <w:pPr>
                    <w:rPr>
                      <w:rFonts w:ascii="宋体" w:hAnsi="宋体"/>
                      <w:color w:val="333333"/>
                      <w:kern w:val="0"/>
                      <w:sz w:val="24"/>
                      <w:szCs w:val="24"/>
                    </w:rPr>
                  </w:pPr>
                  <w:r>
                    <w:rPr>
                      <w:rFonts w:hint="eastAsia" w:ascii="宋体" w:hAnsi="宋体"/>
                      <w:color w:val="333333"/>
                      <w:kern w:val="0"/>
                      <w:sz w:val="24"/>
                      <w:szCs w:val="24"/>
                    </w:rPr>
                    <w:t>各方合计：0-5%</w:t>
                  </w:r>
                </w:p>
              </w:tc>
            </w:tr>
          </w:tbl>
          <w:p>
            <w:pPr>
              <w:rPr>
                <w:rFonts w:ascii="宋体" w:hAnsi="宋体"/>
                <w:color w:val="333333"/>
                <w:kern w:val="0"/>
                <w:sz w:val="24"/>
                <w:szCs w:val="24"/>
              </w:rPr>
            </w:pPr>
          </w:p>
          <w:p>
            <w:pPr>
              <w:rPr>
                <w:rFonts w:ascii="宋体" w:hAnsi="宋体"/>
                <w:b/>
                <w:bCs/>
                <w:color w:val="333333"/>
                <w:kern w:val="0"/>
                <w:sz w:val="24"/>
                <w:szCs w:val="24"/>
              </w:rPr>
            </w:pPr>
            <w:r>
              <w:rPr>
                <w:rFonts w:hint="eastAsia" w:ascii="宋体" w:hAnsi="宋体"/>
                <w:b/>
                <w:bCs/>
                <w:color w:val="333333"/>
                <w:kern w:val="0"/>
                <w:sz w:val="24"/>
                <w:szCs w:val="24"/>
              </w:rPr>
              <w:t>纵向关联：</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2075"/>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1" w:type="dxa"/>
                </w:tcPr>
                <w:p>
                  <w:pPr>
                    <w:jc w:val="center"/>
                    <w:rPr>
                      <w:rFonts w:ascii="宋体" w:hAnsi="宋体"/>
                      <w:b/>
                      <w:bCs/>
                      <w:color w:val="333333"/>
                      <w:kern w:val="0"/>
                      <w:sz w:val="24"/>
                      <w:szCs w:val="24"/>
                    </w:rPr>
                  </w:pPr>
                  <w:r>
                    <w:rPr>
                      <w:rFonts w:hint="eastAsia" w:ascii="宋体" w:hAnsi="宋体"/>
                      <w:color w:val="333333"/>
                      <w:kern w:val="0"/>
                      <w:sz w:val="24"/>
                      <w:szCs w:val="24"/>
                    </w:rPr>
                    <w:t>相关商品市场</w:t>
                  </w:r>
                </w:p>
              </w:tc>
              <w:tc>
                <w:tcPr>
                  <w:tcW w:w="2075" w:type="dxa"/>
                </w:tcPr>
                <w:p>
                  <w:pPr>
                    <w:jc w:val="center"/>
                    <w:rPr>
                      <w:rFonts w:ascii="宋体" w:hAnsi="宋体"/>
                      <w:b/>
                      <w:bCs/>
                      <w:color w:val="333333"/>
                      <w:kern w:val="0"/>
                      <w:sz w:val="24"/>
                      <w:szCs w:val="24"/>
                    </w:rPr>
                  </w:pPr>
                  <w:r>
                    <w:rPr>
                      <w:rFonts w:hint="eastAsia" w:ascii="宋体" w:hAnsi="宋体"/>
                      <w:color w:val="333333"/>
                      <w:kern w:val="0"/>
                      <w:sz w:val="24"/>
                      <w:szCs w:val="24"/>
                    </w:rPr>
                    <w:t>相关地域市场</w:t>
                  </w:r>
                </w:p>
              </w:tc>
              <w:tc>
                <w:tcPr>
                  <w:tcW w:w="2407" w:type="dxa"/>
                </w:tcPr>
                <w:p>
                  <w:pPr>
                    <w:jc w:val="center"/>
                    <w:rPr>
                      <w:rFonts w:ascii="宋体" w:hAnsi="宋体"/>
                      <w:b/>
                      <w:bCs/>
                      <w:color w:val="333333"/>
                      <w:kern w:val="0"/>
                      <w:sz w:val="24"/>
                      <w:szCs w:val="24"/>
                    </w:rPr>
                  </w:pPr>
                  <w:r>
                    <w:rPr>
                      <w:rFonts w:hint="eastAsia" w:ascii="宋体" w:hAnsi="宋体"/>
                      <w:color w:val="333333"/>
                      <w:kern w:val="0"/>
                      <w:sz w:val="24"/>
                      <w:szCs w:val="24"/>
                    </w:rPr>
                    <w:t>2</w:t>
                  </w:r>
                  <w:r>
                    <w:rPr>
                      <w:rFonts w:ascii="宋体" w:hAnsi="宋体"/>
                      <w:color w:val="333333"/>
                      <w:kern w:val="0"/>
                      <w:sz w:val="24"/>
                      <w:szCs w:val="24"/>
                    </w:rPr>
                    <w:t>021</w:t>
                  </w:r>
                  <w:r>
                    <w:rPr>
                      <w:rFonts w:hint="eastAsia" w:ascii="宋体" w:hAnsi="宋体"/>
                      <w:color w:val="333333"/>
                      <w:kern w:val="0"/>
                      <w:sz w:val="24"/>
                      <w:szCs w:val="24"/>
                    </w:rPr>
                    <w:t>年市场份额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1" w:type="dxa"/>
                </w:tcPr>
                <w:p>
                  <w:pPr>
                    <w:rPr>
                      <w:rFonts w:ascii="宋体" w:hAnsi="宋体"/>
                      <w:color w:val="333333"/>
                      <w:kern w:val="0"/>
                      <w:sz w:val="24"/>
                      <w:szCs w:val="24"/>
                    </w:rPr>
                  </w:pPr>
                  <w:r>
                    <w:rPr>
                      <w:rFonts w:hint="eastAsia" w:ascii="宋体" w:hAnsi="宋体"/>
                      <w:color w:val="333333"/>
                      <w:kern w:val="0"/>
                      <w:sz w:val="24"/>
                      <w:szCs w:val="24"/>
                    </w:rPr>
                    <w:t>上游：互联网数据中心（IDC）服务市场</w:t>
                  </w:r>
                </w:p>
                <w:p>
                  <w:pPr>
                    <w:rPr>
                      <w:rFonts w:ascii="宋体" w:hAnsi="宋体"/>
                      <w:b/>
                      <w:bCs/>
                      <w:color w:val="333333"/>
                      <w:kern w:val="0"/>
                      <w:sz w:val="24"/>
                      <w:szCs w:val="24"/>
                    </w:rPr>
                  </w:pPr>
                  <w:r>
                    <w:rPr>
                      <w:rFonts w:hint="eastAsia" w:ascii="宋体" w:hAnsi="宋体"/>
                      <w:color w:val="333333"/>
                      <w:kern w:val="0"/>
                      <w:sz w:val="24"/>
                      <w:szCs w:val="24"/>
                    </w:rPr>
                    <w:t>下游：内容分发网络（CDN）服务市场</w:t>
                  </w:r>
                </w:p>
              </w:tc>
              <w:tc>
                <w:tcPr>
                  <w:tcW w:w="2075" w:type="dxa"/>
                </w:tcPr>
                <w:p>
                  <w:pPr>
                    <w:rPr>
                      <w:rFonts w:ascii="宋体" w:hAnsi="宋体"/>
                      <w:color w:val="333333"/>
                      <w:kern w:val="0"/>
                      <w:sz w:val="24"/>
                      <w:szCs w:val="24"/>
                    </w:rPr>
                  </w:pPr>
                  <w:r>
                    <w:rPr>
                      <w:rFonts w:hint="eastAsia" w:ascii="宋体" w:hAnsi="宋体"/>
                      <w:color w:val="333333"/>
                      <w:kern w:val="0"/>
                      <w:sz w:val="24"/>
                      <w:szCs w:val="24"/>
                    </w:rPr>
                    <w:t>上游：中国境内</w:t>
                  </w:r>
                </w:p>
                <w:p>
                  <w:pPr>
                    <w:rPr>
                      <w:rFonts w:ascii="宋体" w:hAnsi="宋体"/>
                      <w:b/>
                      <w:bCs/>
                      <w:color w:val="333333"/>
                      <w:kern w:val="0"/>
                      <w:sz w:val="24"/>
                      <w:szCs w:val="24"/>
                    </w:rPr>
                  </w:pPr>
                  <w:r>
                    <w:rPr>
                      <w:rFonts w:hint="eastAsia" w:ascii="宋体" w:hAnsi="宋体"/>
                      <w:color w:val="333333"/>
                      <w:kern w:val="0"/>
                      <w:sz w:val="24"/>
                      <w:szCs w:val="24"/>
                    </w:rPr>
                    <w:t>下游：中国境内</w:t>
                  </w:r>
                </w:p>
              </w:tc>
              <w:tc>
                <w:tcPr>
                  <w:tcW w:w="2407" w:type="dxa"/>
                </w:tcPr>
                <w:p>
                  <w:pPr>
                    <w:rPr>
                      <w:rFonts w:ascii="宋体" w:hAnsi="宋体"/>
                      <w:color w:val="333333"/>
                      <w:kern w:val="0"/>
                      <w:sz w:val="24"/>
                      <w:szCs w:val="24"/>
                    </w:rPr>
                  </w:pPr>
                  <w:r>
                    <w:rPr>
                      <w:rFonts w:hint="eastAsia" w:ascii="宋体" w:hAnsi="宋体"/>
                      <w:color w:val="333333"/>
                      <w:kern w:val="0"/>
                      <w:sz w:val="24"/>
                      <w:szCs w:val="24"/>
                    </w:rPr>
                    <w:t>上游：中国境内互联网数据中心（IDC）服务市场</w:t>
                  </w:r>
                </w:p>
                <w:p>
                  <w:pPr>
                    <w:rPr>
                      <w:rFonts w:ascii="宋体" w:hAnsi="宋体"/>
                      <w:color w:val="333333"/>
                      <w:kern w:val="0"/>
                      <w:sz w:val="24"/>
                      <w:szCs w:val="24"/>
                    </w:rPr>
                  </w:pPr>
                  <w:r>
                    <w:rPr>
                      <w:rFonts w:hint="eastAsia" w:ascii="宋体" w:hAnsi="宋体"/>
                      <w:color w:val="333333"/>
                      <w:kern w:val="0"/>
                      <w:sz w:val="24"/>
                      <w:szCs w:val="24"/>
                    </w:rPr>
                    <w:t>联通创投：如上所述</w:t>
                  </w:r>
                </w:p>
                <w:p>
                  <w:pPr>
                    <w:rPr>
                      <w:rFonts w:ascii="宋体" w:hAnsi="宋体"/>
                      <w:color w:val="333333"/>
                      <w:kern w:val="0"/>
                      <w:sz w:val="24"/>
                      <w:szCs w:val="24"/>
                    </w:rPr>
                  </w:pPr>
                  <w:r>
                    <w:rPr>
                      <w:rFonts w:hint="eastAsia" w:ascii="宋体" w:hAnsi="宋体"/>
                      <w:color w:val="333333"/>
                      <w:kern w:val="0"/>
                      <w:sz w:val="24"/>
                      <w:szCs w:val="24"/>
                    </w:rPr>
                    <w:t>腾讯产投（自用）：如上所述</w:t>
                  </w:r>
                </w:p>
                <w:p>
                  <w:pPr>
                    <w:rPr>
                      <w:rFonts w:ascii="宋体" w:hAnsi="宋体"/>
                      <w:color w:val="333333"/>
                      <w:kern w:val="0"/>
                      <w:sz w:val="24"/>
                      <w:szCs w:val="24"/>
                    </w:rPr>
                  </w:pPr>
                  <w:r>
                    <w:rPr>
                      <w:rFonts w:hint="eastAsia" w:ascii="宋体" w:hAnsi="宋体"/>
                      <w:color w:val="333333"/>
                      <w:kern w:val="0"/>
                      <w:sz w:val="24"/>
                      <w:szCs w:val="24"/>
                    </w:rPr>
                    <w:t>下游：中国境内内容分发网络（CDN）服务市场</w:t>
                  </w:r>
                </w:p>
                <w:p>
                  <w:pPr>
                    <w:rPr>
                      <w:rFonts w:ascii="宋体" w:hAnsi="宋体"/>
                      <w:color w:val="333333"/>
                      <w:kern w:val="0"/>
                      <w:sz w:val="24"/>
                      <w:szCs w:val="24"/>
                    </w:rPr>
                  </w:pPr>
                  <w:r>
                    <w:rPr>
                      <w:rFonts w:hint="eastAsia" w:ascii="宋体" w:hAnsi="宋体"/>
                      <w:color w:val="333333"/>
                      <w:kern w:val="0"/>
                      <w:sz w:val="24"/>
                      <w:szCs w:val="24"/>
                    </w:rPr>
                    <w:t>联通创投：如上所述</w:t>
                  </w:r>
                </w:p>
                <w:p>
                  <w:pPr>
                    <w:rPr>
                      <w:rFonts w:ascii="宋体" w:hAnsi="宋体"/>
                      <w:color w:val="333333"/>
                      <w:kern w:val="0"/>
                      <w:sz w:val="24"/>
                      <w:szCs w:val="24"/>
                    </w:rPr>
                  </w:pPr>
                  <w:r>
                    <w:rPr>
                      <w:rFonts w:hint="eastAsia" w:ascii="宋体" w:hAnsi="宋体"/>
                      <w:color w:val="333333"/>
                      <w:kern w:val="0"/>
                      <w:sz w:val="24"/>
                      <w:szCs w:val="24"/>
                    </w:rPr>
                    <w:t>腾讯产投：如上所述</w:t>
                  </w:r>
                </w:p>
                <w:p>
                  <w:pPr>
                    <w:rPr>
                      <w:rFonts w:ascii="宋体" w:hAnsi="宋体"/>
                      <w:color w:val="333333"/>
                      <w:kern w:val="0"/>
                      <w:sz w:val="24"/>
                      <w:szCs w:val="24"/>
                    </w:rPr>
                  </w:pPr>
                  <w:r>
                    <w:rPr>
                      <w:rFonts w:hint="eastAsia" w:ascii="宋体" w:hAnsi="宋体"/>
                      <w:color w:val="333333"/>
                      <w:kern w:val="0"/>
                      <w:sz w:val="24"/>
                      <w:szCs w:val="24"/>
                    </w:rPr>
                    <w:t>合营企业（预计）：如上所述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41" w:type="dxa"/>
                </w:tcPr>
                <w:p>
                  <w:pPr>
                    <w:rPr>
                      <w:rFonts w:ascii="宋体" w:hAnsi="宋体"/>
                      <w:color w:val="333333"/>
                      <w:kern w:val="0"/>
                      <w:sz w:val="24"/>
                      <w:szCs w:val="24"/>
                    </w:rPr>
                  </w:pPr>
                  <w:r>
                    <w:rPr>
                      <w:rFonts w:hint="eastAsia" w:ascii="宋体" w:hAnsi="宋体"/>
                      <w:color w:val="333333"/>
                      <w:kern w:val="0"/>
                      <w:sz w:val="24"/>
                      <w:szCs w:val="24"/>
                    </w:rPr>
                    <w:t>上游：互联网数据中心（IDC）服务市场</w:t>
                  </w:r>
                </w:p>
                <w:p>
                  <w:pPr>
                    <w:rPr>
                      <w:rFonts w:ascii="宋体" w:hAnsi="宋体"/>
                      <w:b/>
                      <w:bCs/>
                      <w:color w:val="333333"/>
                      <w:kern w:val="0"/>
                      <w:sz w:val="24"/>
                      <w:szCs w:val="24"/>
                    </w:rPr>
                  </w:pPr>
                  <w:r>
                    <w:rPr>
                      <w:rFonts w:hint="eastAsia" w:ascii="宋体" w:hAnsi="宋体"/>
                      <w:color w:val="333333"/>
                      <w:kern w:val="0"/>
                      <w:sz w:val="24"/>
                      <w:szCs w:val="24"/>
                    </w:rPr>
                    <w:t>下游：边缘计算服务市场</w:t>
                  </w:r>
                </w:p>
              </w:tc>
              <w:tc>
                <w:tcPr>
                  <w:tcW w:w="2075" w:type="dxa"/>
                </w:tcPr>
                <w:p>
                  <w:pPr>
                    <w:rPr>
                      <w:rFonts w:ascii="宋体" w:hAnsi="宋体"/>
                      <w:color w:val="333333"/>
                      <w:kern w:val="0"/>
                      <w:sz w:val="24"/>
                      <w:szCs w:val="24"/>
                    </w:rPr>
                  </w:pPr>
                  <w:r>
                    <w:rPr>
                      <w:rFonts w:hint="eastAsia" w:ascii="宋体" w:hAnsi="宋体"/>
                      <w:color w:val="333333"/>
                      <w:kern w:val="0"/>
                      <w:sz w:val="24"/>
                      <w:szCs w:val="24"/>
                    </w:rPr>
                    <w:t>上游：中国境内</w:t>
                  </w:r>
                </w:p>
                <w:p>
                  <w:pPr>
                    <w:rPr>
                      <w:rFonts w:ascii="宋体" w:hAnsi="宋体"/>
                      <w:b/>
                      <w:bCs/>
                      <w:color w:val="333333"/>
                      <w:kern w:val="0"/>
                      <w:sz w:val="24"/>
                      <w:szCs w:val="24"/>
                    </w:rPr>
                  </w:pPr>
                  <w:r>
                    <w:rPr>
                      <w:rFonts w:hint="eastAsia" w:ascii="宋体" w:hAnsi="宋体"/>
                      <w:color w:val="333333"/>
                      <w:kern w:val="0"/>
                      <w:sz w:val="24"/>
                      <w:szCs w:val="24"/>
                    </w:rPr>
                    <w:t>下游：中国境内</w:t>
                  </w:r>
                </w:p>
              </w:tc>
              <w:tc>
                <w:tcPr>
                  <w:tcW w:w="2407" w:type="dxa"/>
                </w:tcPr>
                <w:p>
                  <w:pPr>
                    <w:rPr>
                      <w:rFonts w:ascii="宋体" w:hAnsi="宋体"/>
                      <w:color w:val="333333"/>
                      <w:kern w:val="0"/>
                      <w:sz w:val="24"/>
                      <w:szCs w:val="24"/>
                    </w:rPr>
                  </w:pPr>
                  <w:r>
                    <w:rPr>
                      <w:rFonts w:hint="eastAsia" w:ascii="宋体" w:hAnsi="宋体"/>
                      <w:color w:val="333333"/>
                      <w:kern w:val="0"/>
                      <w:sz w:val="24"/>
                      <w:szCs w:val="24"/>
                    </w:rPr>
                    <w:t>上游：中国境内互联网数据中心（IDC）服务市场</w:t>
                  </w:r>
                </w:p>
                <w:p>
                  <w:pPr>
                    <w:rPr>
                      <w:rFonts w:ascii="宋体" w:hAnsi="宋体"/>
                      <w:color w:val="333333"/>
                      <w:kern w:val="0"/>
                      <w:sz w:val="24"/>
                      <w:szCs w:val="24"/>
                    </w:rPr>
                  </w:pPr>
                  <w:r>
                    <w:rPr>
                      <w:rFonts w:hint="eastAsia" w:ascii="宋体" w:hAnsi="宋体"/>
                      <w:color w:val="333333"/>
                      <w:kern w:val="0"/>
                      <w:sz w:val="24"/>
                      <w:szCs w:val="24"/>
                    </w:rPr>
                    <w:t>联通创投：如上所述</w:t>
                  </w:r>
                </w:p>
                <w:p>
                  <w:pPr>
                    <w:rPr>
                      <w:rFonts w:ascii="宋体" w:hAnsi="宋体"/>
                      <w:color w:val="333333"/>
                      <w:kern w:val="0"/>
                      <w:sz w:val="24"/>
                      <w:szCs w:val="24"/>
                    </w:rPr>
                  </w:pPr>
                  <w:r>
                    <w:rPr>
                      <w:rFonts w:hint="eastAsia" w:ascii="宋体" w:hAnsi="宋体"/>
                      <w:color w:val="333333"/>
                      <w:kern w:val="0"/>
                      <w:sz w:val="24"/>
                      <w:szCs w:val="24"/>
                    </w:rPr>
                    <w:t>腾讯产投（自用）：如上所述</w:t>
                  </w:r>
                </w:p>
                <w:p>
                  <w:pPr>
                    <w:rPr>
                      <w:rFonts w:ascii="宋体" w:hAnsi="宋体"/>
                      <w:color w:val="333333"/>
                      <w:kern w:val="0"/>
                      <w:sz w:val="24"/>
                      <w:szCs w:val="24"/>
                    </w:rPr>
                  </w:pPr>
                  <w:r>
                    <w:rPr>
                      <w:rFonts w:hint="eastAsia" w:ascii="宋体" w:hAnsi="宋体"/>
                      <w:color w:val="333333"/>
                      <w:kern w:val="0"/>
                      <w:sz w:val="24"/>
                      <w:szCs w:val="24"/>
                    </w:rPr>
                    <w:t>下游：中国境内边缘计算服务市场</w:t>
                  </w:r>
                </w:p>
                <w:p>
                  <w:pPr>
                    <w:rPr>
                      <w:rFonts w:ascii="宋体" w:hAnsi="宋体"/>
                      <w:color w:val="333333"/>
                      <w:kern w:val="0"/>
                      <w:sz w:val="24"/>
                      <w:szCs w:val="24"/>
                    </w:rPr>
                  </w:pPr>
                  <w:r>
                    <w:rPr>
                      <w:rFonts w:hint="eastAsia" w:ascii="宋体" w:hAnsi="宋体"/>
                      <w:color w:val="333333"/>
                      <w:kern w:val="0"/>
                      <w:sz w:val="24"/>
                      <w:szCs w:val="24"/>
                    </w:rPr>
                    <w:t>腾讯产投：如上所述</w:t>
                  </w:r>
                </w:p>
                <w:p>
                  <w:pPr>
                    <w:rPr>
                      <w:rFonts w:ascii="宋体" w:hAnsi="宋体"/>
                      <w:b/>
                      <w:bCs/>
                      <w:color w:val="333333"/>
                      <w:kern w:val="0"/>
                      <w:sz w:val="24"/>
                      <w:szCs w:val="24"/>
                    </w:rPr>
                  </w:pPr>
                  <w:r>
                    <w:rPr>
                      <w:rFonts w:hint="eastAsia" w:ascii="宋体" w:hAnsi="宋体"/>
                      <w:color w:val="333333"/>
                      <w:kern w:val="0"/>
                      <w:sz w:val="24"/>
                      <w:szCs w:val="24"/>
                    </w:rPr>
                    <w:t>合营企业（预计）：如上所述</w:t>
                  </w:r>
                </w:p>
              </w:tc>
            </w:tr>
          </w:tbl>
          <w:p>
            <w:pPr>
              <w:rPr>
                <w:rFonts w:ascii="宋体" w:hAnsi="宋体"/>
                <w:b/>
                <w:bCs/>
                <w:color w:val="333333"/>
                <w:kern w:val="0"/>
                <w:sz w:val="24"/>
                <w:szCs w:val="24"/>
              </w:rPr>
            </w:pPr>
          </w:p>
        </w:tc>
      </w:tr>
    </w:tbl>
    <w:p>
      <w:pPr>
        <w:snapToGrid w:val="0"/>
        <w:spacing w:line="240" w:lineRule="exact"/>
        <w:jc w:val="left"/>
        <w:rPr>
          <w:rFonts w:ascii="Times New Roman" w:hAnsi="Times New Roman"/>
          <w:sz w:val="24"/>
          <w:szCs w:val="24"/>
        </w:rPr>
      </w:pPr>
    </w:p>
    <w:p>
      <w:pPr>
        <w:rPr>
          <w:rFonts w:ascii="Times New Roman" w:hAnsi="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yMDC1MLQ0NjCwMDUwMjVW0lEKTi0uzszPAykwqgUApsR2sCwAAAA="/>
  </w:docVars>
  <w:rsids>
    <w:rsidRoot w:val="00CB00DF"/>
    <w:rsid w:val="00037065"/>
    <w:rsid w:val="00056066"/>
    <w:rsid w:val="000D751C"/>
    <w:rsid w:val="000D7EBA"/>
    <w:rsid w:val="000E59A8"/>
    <w:rsid w:val="001164CD"/>
    <w:rsid w:val="00155717"/>
    <w:rsid w:val="00160A62"/>
    <w:rsid w:val="00176047"/>
    <w:rsid w:val="001837A3"/>
    <w:rsid w:val="00187E2F"/>
    <w:rsid w:val="00191595"/>
    <w:rsid w:val="001C1662"/>
    <w:rsid w:val="001C310B"/>
    <w:rsid w:val="001F5695"/>
    <w:rsid w:val="00275AD4"/>
    <w:rsid w:val="002D2D2B"/>
    <w:rsid w:val="002D787E"/>
    <w:rsid w:val="002E11FE"/>
    <w:rsid w:val="002F2682"/>
    <w:rsid w:val="003222F8"/>
    <w:rsid w:val="00367E88"/>
    <w:rsid w:val="003B2899"/>
    <w:rsid w:val="003C0AEB"/>
    <w:rsid w:val="003D4494"/>
    <w:rsid w:val="003D603A"/>
    <w:rsid w:val="00416073"/>
    <w:rsid w:val="004172C6"/>
    <w:rsid w:val="00422D67"/>
    <w:rsid w:val="004361F4"/>
    <w:rsid w:val="00487DF7"/>
    <w:rsid w:val="004B0D61"/>
    <w:rsid w:val="004B5F4C"/>
    <w:rsid w:val="004F18AA"/>
    <w:rsid w:val="004F6284"/>
    <w:rsid w:val="004F7688"/>
    <w:rsid w:val="00506BB6"/>
    <w:rsid w:val="00533D58"/>
    <w:rsid w:val="00534FB9"/>
    <w:rsid w:val="005A2C6C"/>
    <w:rsid w:val="005C13FC"/>
    <w:rsid w:val="005F0987"/>
    <w:rsid w:val="005F6048"/>
    <w:rsid w:val="00611EAF"/>
    <w:rsid w:val="00627920"/>
    <w:rsid w:val="006467D8"/>
    <w:rsid w:val="00674532"/>
    <w:rsid w:val="0069295E"/>
    <w:rsid w:val="006A1D6F"/>
    <w:rsid w:val="006A531B"/>
    <w:rsid w:val="006F7693"/>
    <w:rsid w:val="00710140"/>
    <w:rsid w:val="007115CB"/>
    <w:rsid w:val="007152D7"/>
    <w:rsid w:val="007746A6"/>
    <w:rsid w:val="00786975"/>
    <w:rsid w:val="007F2275"/>
    <w:rsid w:val="00800BD6"/>
    <w:rsid w:val="00800FED"/>
    <w:rsid w:val="00863049"/>
    <w:rsid w:val="008A295E"/>
    <w:rsid w:val="008D12CE"/>
    <w:rsid w:val="00915F0F"/>
    <w:rsid w:val="009219F7"/>
    <w:rsid w:val="009340AF"/>
    <w:rsid w:val="00936DC2"/>
    <w:rsid w:val="009532DF"/>
    <w:rsid w:val="00992B45"/>
    <w:rsid w:val="009930EB"/>
    <w:rsid w:val="00997019"/>
    <w:rsid w:val="009A5029"/>
    <w:rsid w:val="009B2D48"/>
    <w:rsid w:val="009D38D5"/>
    <w:rsid w:val="009F6606"/>
    <w:rsid w:val="00A33445"/>
    <w:rsid w:val="00A53F26"/>
    <w:rsid w:val="00A64176"/>
    <w:rsid w:val="00A66AC4"/>
    <w:rsid w:val="00AA0CC5"/>
    <w:rsid w:val="00AD041B"/>
    <w:rsid w:val="00AE0D82"/>
    <w:rsid w:val="00B07030"/>
    <w:rsid w:val="00B16AFE"/>
    <w:rsid w:val="00B252C2"/>
    <w:rsid w:val="00B65DD5"/>
    <w:rsid w:val="00B77B68"/>
    <w:rsid w:val="00BA78EC"/>
    <w:rsid w:val="00BD10B6"/>
    <w:rsid w:val="00C07076"/>
    <w:rsid w:val="00C30E68"/>
    <w:rsid w:val="00C706BB"/>
    <w:rsid w:val="00CA662F"/>
    <w:rsid w:val="00CB00DF"/>
    <w:rsid w:val="00CC53C3"/>
    <w:rsid w:val="00CE7C5D"/>
    <w:rsid w:val="00D049E6"/>
    <w:rsid w:val="00D2419E"/>
    <w:rsid w:val="00D248C7"/>
    <w:rsid w:val="00D60C5C"/>
    <w:rsid w:val="00D635F9"/>
    <w:rsid w:val="00D716B9"/>
    <w:rsid w:val="00D73C72"/>
    <w:rsid w:val="00D8495D"/>
    <w:rsid w:val="00D87082"/>
    <w:rsid w:val="00E0592B"/>
    <w:rsid w:val="00E15D85"/>
    <w:rsid w:val="00E17036"/>
    <w:rsid w:val="00E31738"/>
    <w:rsid w:val="00E36C70"/>
    <w:rsid w:val="00E62D90"/>
    <w:rsid w:val="00E86786"/>
    <w:rsid w:val="00EA2DFB"/>
    <w:rsid w:val="00ED2F80"/>
    <w:rsid w:val="00EE0F05"/>
    <w:rsid w:val="00F1148E"/>
    <w:rsid w:val="00F13D05"/>
    <w:rsid w:val="00F1624E"/>
    <w:rsid w:val="00F32F8A"/>
    <w:rsid w:val="00F36D94"/>
    <w:rsid w:val="00F54D56"/>
    <w:rsid w:val="00F64968"/>
    <w:rsid w:val="00F810AA"/>
    <w:rsid w:val="00F86656"/>
    <w:rsid w:val="00FA12CC"/>
    <w:rsid w:val="00FA5F5A"/>
    <w:rsid w:val="00FB43EC"/>
    <w:rsid w:val="00FB6B40"/>
    <w:rsid w:val="00FC5A78"/>
    <w:rsid w:val="00FF103E"/>
    <w:rsid w:val="43E6289A"/>
    <w:rsid w:val="7EFE76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批注文字 Char"/>
    <w:basedOn w:val="9"/>
    <w:link w:val="2"/>
    <w:semiHidden/>
    <w:qFormat/>
    <w:uiPriority w:val="99"/>
    <w:rPr>
      <w:rFonts w:ascii="Calibri" w:hAnsi="Calibri" w:eastAsia="宋体" w:cs="Times New Roman"/>
    </w:rPr>
  </w:style>
  <w:style w:type="character" w:customStyle="1" w:styleId="13">
    <w:name w:val="批注主题 Char"/>
    <w:basedOn w:val="12"/>
    <w:link w:val="6"/>
    <w:semiHidden/>
    <w:qFormat/>
    <w:uiPriority w:val="99"/>
    <w:rPr>
      <w:rFonts w:ascii="Calibri" w:hAnsi="Calibri" w:eastAsia="宋体" w:cs="Times New Roman"/>
      <w:b/>
      <w:bCs/>
    </w:rPr>
  </w:style>
  <w:style w:type="paragraph" w:customStyle="1" w:styleId="14">
    <w:name w:val="修订1"/>
    <w:hidden/>
    <w:semiHidden/>
    <w:qFormat/>
    <w:uiPriority w:val="99"/>
    <w:rPr>
      <w:rFonts w:ascii="Calibri" w:hAnsi="Calibri" w:eastAsia="宋体" w:cs="Times New Roman"/>
      <w:kern w:val="2"/>
      <w:sz w:val="21"/>
      <w:szCs w:val="22"/>
      <w:lang w:val="en-US" w:eastAsia="zh-CN" w:bidi="ar-SA"/>
    </w:rPr>
  </w:style>
  <w:style w:type="character" w:customStyle="1" w:styleId="15">
    <w:name w:val="页眉 Char"/>
    <w:basedOn w:val="9"/>
    <w:link w:val="5"/>
    <w:qFormat/>
    <w:uiPriority w:val="99"/>
    <w:rPr>
      <w:rFonts w:ascii="Calibri" w:hAnsi="Calibri" w:eastAsia="宋体" w:cs="Times New Roman"/>
      <w:sz w:val="18"/>
      <w:szCs w:val="18"/>
    </w:rPr>
  </w:style>
  <w:style w:type="character" w:customStyle="1" w:styleId="16">
    <w:name w:val="页脚 Char"/>
    <w:basedOn w:val="9"/>
    <w:link w:val="4"/>
    <w:qFormat/>
    <w:uiPriority w:val="99"/>
    <w:rPr>
      <w:rFonts w:ascii="Calibri" w:hAnsi="Calibri" w:eastAsia="宋体" w:cs="Times New Roman"/>
      <w:sz w:val="18"/>
      <w:szCs w:val="18"/>
    </w:rPr>
  </w:style>
  <w:style w:type="character" w:customStyle="1" w:styleId="17">
    <w:name w:val="批注框文本 Char"/>
    <w:basedOn w:val="9"/>
    <w:link w:val="3"/>
    <w:semiHidden/>
    <w:qFormat/>
    <w:uiPriority w:val="99"/>
    <w:rPr>
      <w:rFonts w:ascii="Calibri" w:hAnsi="Calibri" w:eastAsia="宋体" w:cs="Times New Roman"/>
      <w:kern w:val="2"/>
      <w:sz w:val="18"/>
      <w:szCs w:val="18"/>
    </w:rPr>
  </w:style>
  <w:style w:type="paragraph" w:customStyle="1" w:styleId="1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244</Words>
  <Characters>1392</Characters>
  <Lines>11</Lines>
  <Paragraphs>3</Paragraphs>
  <TotalTime>38</TotalTime>
  <ScaleCrop>false</ScaleCrop>
  <LinksUpToDate>false</LinksUpToDate>
  <CharactersWithSpaces>1633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2022-09-07T12:53:00Z</dcterms:created>
  <dc:creator>陈媚</dc:creator>
  <cp:lastModifiedBy>oa</cp:lastModifiedBy>
  <dcterms:modified xsi:type="dcterms:W3CDTF">2022-09-22T16:41:59Z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