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821D" w14:textId="06F9C6CA" w:rsidR="00CB00DF" w:rsidRPr="003D2D38" w:rsidRDefault="00CB00DF" w:rsidP="00554B02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3D2D38">
        <w:rPr>
          <w:rFonts w:ascii="黑体" w:eastAsia="黑体" w:hAnsi="黑体" w:hint="eastAsia"/>
          <w:color w:val="000000" w:themeColor="text1"/>
          <w:sz w:val="36"/>
          <w:szCs w:val="36"/>
        </w:rPr>
        <w:t>经营者集中简易案件公示表</w:t>
      </w:r>
    </w:p>
    <w:p w14:paraId="18404F14" w14:textId="77777777" w:rsidR="00CB00DF" w:rsidRPr="00752595" w:rsidRDefault="00CB00DF" w:rsidP="00554B02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752595" w:rsidRPr="003D2D38" w14:paraId="6DABDA57" w14:textId="77777777" w:rsidTr="00CB00DF">
        <w:tc>
          <w:tcPr>
            <w:tcW w:w="1809" w:type="dxa"/>
            <w:shd w:val="clear" w:color="auto" w:fill="D9D9D9"/>
            <w:vAlign w:val="center"/>
          </w:tcPr>
          <w:p w14:paraId="7626831C" w14:textId="77777777" w:rsidR="00CB00DF" w:rsidRPr="003D2D38" w:rsidRDefault="00CB00DF" w:rsidP="003D2D3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9" w:type="dxa"/>
            <w:gridSpan w:val="2"/>
          </w:tcPr>
          <w:p w14:paraId="3E80C900" w14:textId="6964CD4C" w:rsidR="00CB00DF" w:rsidRPr="003D2D38" w:rsidRDefault="00536FD0" w:rsidP="003D2D38">
            <w:pPr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熙维资本合伙企业</w:t>
            </w:r>
            <w:r w:rsidR="002A2528" w:rsidRPr="003D2D3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收购</w:t>
            </w:r>
            <w:r w:rsidR="0068024E" w:rsidRPr="003D2D38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VERITEXT</w:t>
            </w:r>
            <w:r w:rsidRPr="003D2D3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, LLC股权案</w:t>
            </w:r>
          </w:p>
        </w:tc>
      </w:tr>
      <w:tr w:rsidR="00752595" w:rsidRPr="003D2D38" w14:paraId="0D8AF6D1" w14:textId="77777777" w:rsidTr="00EC6ED2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74E43789" w14:textId="77777777" w:rsidR="0056357F" w:rsidRPr="003D2D38" w:rsidRDefault="0056357F" w:rsidP="003D2D3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bookmarkStart w:id="0" w:name="_Hlk112260149"/>
            <w:r w:rsidRPr="003D2D3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交易概况</w:t>
            </w:r>
          </w:p>
          <w:p w14:paraId="72336D64" w14:textId="77777777" w:rsidR="0056357F" w:rsidRPr="003D2D38" w:rsidRDefault="0056357F" w:rsidP="003D2D3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（限</w:t>
            </w:r>
            <w:r w:rsidRPr="003D2D38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200</w:t>
            </w:r>
            <w:r w:rsidRPr="003D2D3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字内）</w:t>
            </w:r>
          </w:p>
        </w:tc>
        <w:tc>
          <w:tcPr>
            <w:tcW w:w="6949" w:type="dxa"/>
            <w:gridSpan w:val="2"/>
            <w:vAlign w:val="center"/>
          </w:tcPr>
          <w:p w14:paraId="39F88173" w14:textId="69DEE622" w:rsidR="00B213E1" w:rsidRPr="003D2D38" w:rsidRDefault="00EB2EBE" w:rsidP="003D2D38">
            <w:pPr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EB2EBE">
              <w:rPr>
                <w:rFonts w:ascii="宋体" w:hAnsi="宋体"/>
                <w:color w:val="000000" w:themeColor="text1"/>
                <w:sz w:val="24"/>
                <w:szCs w:val="24"/>
              </w:rPr>
              <w:t>熙维资本合伙企业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（“</w:t>
            </w:r>
            <w:r w:rsidRPr="00EB2EBE"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  <w:t>熙维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”</w:t>
            </w:r>
            <w:r w:rsidRPr="00EB2EBE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间接控制的实体与伦纳德·格林伙伴公司（有限合伙）（“</w:t>
            </w:r>
            <w:r w:rsidRPr="00EB2EBE"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  <w:t>LGP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”）间接控制的实体</w:t>
            </w:r>
            <w:r w:rsidR="00E33177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等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签署协议。熙维战略机遇第二基金（由熙维控制）根据该等协议将间接收购</w:t>
            </w:r>
            <w:r w:rsidRPr="00EB2EBE">
              <w:rPr>
                <w:rFonts w:ascii="宋体" w:hAnsi="宋体"/>
                <w:color w:val="000000" w:themeColor="text1"/>
                <w:sz w:val="24"/>
                <w:szCs w:val="24"/>
              </w:rPr>
              <w:t>Green Veracity Acquisition Holdings, Inc.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（“</w:t>
            </w:r>
            <w:r w:rsidRPr="00EB2EBE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控股公司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”）约5</w:t>
            </w:r>
            <w:r w:rsidRPr="00EB2EBE">
              <w:rPr>
                <w:rFonts w:ascii="宋体" w:hAnsi="宋体"/>
                <w:color w:val="000000" w:themeColor="text1"/>
                <w:sz w:val="24"/>
                <w:szCs w:val="24"/>
              </w:rPr>
              <w:t>0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%的股权，控股公司持有</w:t>
            </w:r>
            <w:r w:rsidRPr="00EB2EBE">
              <w:rPr>
                <w:rFonts w:ascii="宋体" w:hAnsi="宋体"/>
                <w:color w:val="000000" w:themeColor="text1"/>
                <w:sz w:val="24"/>
                <w:szCs w:val="24"/>
              </w:rPr>
              <w:t>Veritext, LLC（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“</w:t>
            </w:r>
            <w:r w:rsidRPr="00EB2EBE"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  <w:t>目标</w:t>
            </w:r>
            <w:r w:rsidRPr="00EB2EBE">
              <w:rPr>
                <w:rFonts w:ascii="宋体" w:hAnsi="宋体" w:hint="eastAsia"/>
                <w:b/>
                <w:bCs/>
                <w:color w:val="000000" w:themeColor="text1"/>
                <w:sz w:val="24"/>
                <w:szCs w:val="24"/>
              </w:rPr>
              <w:t>公司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”</w:t>
            </w:r>
            <w:r w:rsidRPr="00EB2EBE">
              <w:rPr>
                <w:rFonts w:ascii="宋体" w:hAnsi="宋体"/>
                <w:color w:val="000000" w:themeColor="text1"/>
                <w:sz w:val="24"/>
                <w:szCs w:val="24"/>
              </w:rPr>
              <w:t>）100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%股权</w:t>
            </w:r>
            <w:r w:rsidRPr="00EB2EBE">
              <w:rPr>
                <w:rFonts w:ascii="宋体" w:hAnsi="宋体"/>
                <w:color w:val="000000" w:themeColor="text1"/>
                <w:sz w:val="24"/>
                <w:szCs w:val="24"/>
              </w:rPr>
              <w:t>。</w:t>
            </w:r>
            <w:r w:rsidRPr="00EB2EBE">
              <w:rPr>
                <w:rFonts w:ascii="宋体" w:hAnsi="宋体" w:hint="eastAsia"/>
                <w:bCs/>
                <w:color w:val="000000" w:themeColor="text1"/>
                <w:sz w:val="24"/>
                <w:szCs w:val="24"/>
              </w:rPr>
              <w:t>目标公司主要从事庭外取证服务业务。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交易前，目标公司由</w:t>
            </w:r>
            <w:r w:rsidRPr="00EB2EBE">
              <w:rPr>
                <w:rFonts w:ascii="宋体" w:hAnsi="宋体"/>
                <w:color w:val="000000" w:themeColor="text1"/>
                <w:sz w:val="24"/>
                <w:szCs w:val="24"/>
              </w:rPr>
              <w:t>LGP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单独控制。交易后，目标公司将由熙维和</w:t>
            </w:r>
            <w:r w:rsidRPr="00EB2EBE">
              <w:rPr>
                <w:rFonts w:ascii="宋体" w:hAnsi="宋体"/>
                <w:color w:val="000000" w:themeColor="text1"/>
                <w:sz w:val="24"/>
                <w:szCs w:val="24"/>
              </w:rPr>
              <w:t>LGP</w:t>
            </w:r>
            <w:r w:rsidRPr="00EB2EB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共同控制。</w:t>
            </w:r>
          </w:p>
        </w:tc>
      </w:tr>
      <w:bookmarkEnd w:id="0"/>
      <w:tr w:rsidR="00752595" w:rsidRPr="003D2D38" w14:paraId="4CED3C0A" w14:textId="77777777" w:rsidTr="00CB00DF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272B61D4" w14:textId="77777777" w:rsidR="0056357F" w:rsidRPr="003D2D38" w:rsidRDefault="0056357F" w:rsidP="003D2D3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参与集中的</w:t>
            </w:r>
          </w:p>
          <w:p w14:paraId="4654DACE" w14:textId="77777777" w:rsidR="0056357F" w:rsidRPr="003D2D38" w:rsidRDefault="0056357F" w:rsidP="003D2D3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经营者简介</w:t>
            </w:r>
          </w:p>
        </w:tc>
        <w:tc>
          <w:tcPr>
            <w:tcW w:w="1796" w:type="dxa"/>
          </w:tcPr>
          <w:p w14:paraId="405AF40B" w14:textId="6B71295A" w:rsidR="0056357F" w:rsidRPr="003D2D38" w:rsidRDefault="0056357F" w:rsidP="003D2D38">
            <w:pPr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1、</w:t>
            </w:r>
            <w:r w:rsidR="00536FD0" w:rsidRPr="003D2D38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熙维</w:t>
            </w:r>
          </w:p>
        </w:tc>
        <w:tc>
          <w:tcPr>
            <w:tcW w:w="5153" w:type="dxa"/>
          </w:tcPr>
          <w:p w14:paraId="5CD3E6F3" w14:textId="77777777" w:rsidR="00EB2EBE" w:rsidRPr="00EB2EBE" w:rsidRDefault="00EB2EBE" w:rsidP="00EB2EBE">
            <w:pPr>
              <w:widowControl/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EB2EBE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熙维于2008年3月26日成立于卢森堡。熙维的主要业务是投资咨询与投资管理，投资领域包含化工、制造、零售和经销、公共事业等行业。</w:t>
            </w:r>
          </w:p>
          <w:p w14:paraId="7C51105A" w14:textId="484FD4BD" w:rsidR="0056357F" w:rsidRPr="003D2D38" w:rsidRDefault="00EB2EBE" w:rsidP="00EB2EBE">
            <w:pPr>
              <w:widowControl/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EB2EBE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熙维无最终控制人。</w:t>
            </w:r>
          </w:p>
        </w:tc>
      </w:tr>
      <w:tr w:rsidR="001D7A0E" w:rsidRPr="003D2D38" w14:paraId="3AFBF6DA" w14:textId="77777777" w:rsidTr="00A13819">
        <w:trPr>
          <w:trHeight w:val="404"/>
        </w:trPr>
        <w:tc>
          <w:tcPr>
            <w:tcW w:w="1809" w:type="dxa"/>
            <w:vMerge/>
            <w:shd w:val="clear" w:color="auto" w:fill="D9D9D9"/>
            <w:vAlign w:val="center"/>
          </w:tcPr>
          <w:p w14:paraId="4425227A" w14:textId="77777777" w:rsidR="001D7A0E" w:rsidRPr="003D2D38" w:rsidRDefault="001D7A0E" w:rsidP="003D2D3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6" w:type="dxa"/>
          </w:tcPr>
          <w:p w14:paraId="5FA869CD" w14:textId="69F00EE4" w:rsidR="001D7A0E" w:rsidRPr="003D2D38" w:rsidRDefault="001D7A0E" w:rsidP="003D2D38">
            <w:pPr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2、</w:t>
            </w:r>
            <w:r w:rsidR="003C78BD" w:rsidRPr="003D2D38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LGP</w:t>
            </w:r>
          </w:p>
        </w:tc>
        <w:tc>
          <w:tcPr>
            <w:tcW w:w="5153" w:type="dxa"/>
          </w:tcPr>
          <w:p w14:paraId="45192A8A" w14:textId="77777777" w:rsidR="00EB2EBE" w:rsidRPr="00EB2EBE" w:rsidRDefault="00EB2EBE" w:rsidP="00EB2EBE">
            <w:pPr>
              <w:widowControl/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EB2EBE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LGP于1</w:t>
            </w:r>
            <w:r w:rsidRPr="00EB2EBE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989</w:t>
            </w:r>
            <w:r w:rsidRPr="00EB2EBE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年1</w:t>
            </w:r>
            <w:r w:rsidRPr="00EB2EBE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EB2EBE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月9日在美国加利福尼亚州成立。LGP的主要业务是消费、商业、医疗保健服务、零售、分销、工业等领域投资。</w:t>
            </w:r>
          </w:p>
          <w:p w14:paraId="5AEFC240" w14:textId="7181D43C" w:rsidR="001D7A0E" w:rsidRPr="003D2D38" w:rsidRDefault="00EB2EBE" w:rsidP="00EB2EBE">
            <w:pPr>
              <w:widowControl/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EB2EBE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L</w:t>
            </w:r>
            <w:r w:rsidRPr="00EB2EBE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GP</w:t>
            </w:r>
            <w:r w:rsidRPr="00EB2EBE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无最终控制人。</w:t>
            </w:r>
          </w:p>
        </w:tc>
      </w:tr>
      <w:tr w:rsidR="00752595" w:rsidRPr="003D2D38" w14:paraId="3E854AF5" w14:textId="77777777" w:rsidTr="00CB00DF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5D1F5964" w14:textId="77777777" w:rsidR="0056357F" w:rsidRPr="003D2D38" w:rsidRDefault="0056357F" w:rsidP="003D2D3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16B52626" w14:textId="2A94E35E" w:rsidR="0056357F" w:rsidRPr="003D2D38" w:rsidRDefault="0056357F" w:rsidP="003D2D38">
            <w:pPr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/>
                <w:color w:val="000000" w:themeColor="text1"/>
                <w:sz w:val="24"/>
                <w:szCs w:val="24"/>
              </w:rPr>
              <w:sym w:font="Wingdings" w:char="F0A8"/>
            </w:r>
            <w:r w:rsidRPr="003D2D38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1.在同一相关市场，所有参与集中的经营者所占市场份额之和小于15%。</w:t>
            </w:r>
          </w:p>
        </w:tc>
      </w:tr>
      <w:tr w:rsidR="00752595" w:rsidRPr="003D2D38" w14:paraId="55627C14" w14:textId="77777777" w:rsidTr="00CB00DF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1A9979F7" w14:textId="77777777" w:rsidR="0056357F" w:rsidRPr="003D2D38" w:rsidRDefault="0056357F" w:rsidP="003D2D3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0CE8ADDC" w14:textId="175B79AF" w:rsidR="0056357F" w:rsidRPr="003D2D38" w:rsidRDefault="002A2BE1" w:rsidP="003D2D38">
            <w:pPr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/>
                <w:color w:val="000000" w:themeColor="text1"/>
                <w:sz w:val="24"/>
                <w:szCs w:val="24"/>
              </w:rPr>
              <w:sym w:font="Wingdings" w:char="F0A8"/>
            </w:r>
            <w:r w:rsidR="0056357F" w:rsidRPr="003D2D38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2.存在上下游关系的参与集中的经营者，在上下游市场所占的市场份额均小于25%。</w:t>
            </w:r>
          </w:p>
        </w:tc>
      </w:tr>
      <w:tr w:rsidR="00752595" w:rsidRPr="003D2D38" w14:paraId="7284BB15" w14:textId="77777777" w:rsidTr="00CB00DF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3E3EFD15" w14:textId="77777777" w:rsidR="0056357F" w:rsidRPr="003D2D38" w:rsidRDefault="0056357F" w:rsidP="003D2D3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117FE519" w14:textId="067F7E1F" w:rsidR="0056357F" w:rsidRPr="003D2D38" w:rsidRDefault="001C54F9" w:rsidP="003D2D38">
            <w:pPr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/>
                <w:color w:val="000000" w:themeColor="text1"/>
                <w:sz w:val="24"/>
                <w:szCs w:val="24"/>
              </w:rPr>
              <w:sym w:font="Wingdings" w:char="F0A8"/>
            </w:r>
            <w:r w:rsidR="0056357F" w:rsidRPr="003D2D38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3.不在同一相关市场、也不存在上下游关系的参与集中的经营者，在与交易有关的每个市场所占的份额均小于25%。</w:t>
            </w:r>
          </w:p>
        </w:tc>
      </w:tr>
      <w:tr w:rsidR="00752595" w:rsidRPr="003D2D38" w14:paraId="41038510" w14:textId="77777777" w:rsidTr="003D2D38">
        <w:trPr>
          <w:trHeight w:val="575"/>
        </w:trPr>
        <w:tc>
          <w:tcPr>
            <w:tcW w:w="1809" w:type="dxa"/>
            <w:vMerge/>
            <w:shd w:val="clear" w:color="auto" w:fill="D9D9D9"/>
            <w:vAlign w:val="center"/>
          </w:tcPr>
          <w:p w14:paraId="690A0E03" w14:textId="77777777" w:rsidR="0056357F" w:rsidRPr="003D2D38" w:rsidRDefault="0056357F" w:rsidP="003D2D3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41C86CD2" w14:textId="1F115C97" w:rsidR="0056357F" w:rsidRPr="003D2D38" w:rsidRDefault="0056357F" w:rsidP="003D2D38">
            <w:pPr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/>
                <w:color w:val="000000" w:themeColor="text1"/>
                <w:sz w:val="24"/>
                <w:szCs w:val="24"/>
              </w:rPr>
              <w:sym w:font="Wingdings" w:char="F0A8"/>
            </w:r>
            <w:r w:rsidRPr="003D2D38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4.参与集中的经营者在中国境外设立合营企业，合营企业不在中国境内从事经济活动。</w:t>
            </w:r>
          </w:p>
        </w:tc>
      </w:tr>
      <w:tr w:rsidR="00752595" w:rsidRPr="003D2D38" w14:paraId="0469E1B7" w14:textId="77777777" w:rsidTr="00CB00DF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3F14894F" w14:textId="77777777" w:rsidR="0056357F" w:rsidRPr="003D2D38" w:rsidRDefault="0056357F" w:rsidP="003D2D3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11E47504" w14:textId="2CFA6BF4" w:rsidR="0056357F" w:rsidRPr="003D2D38" w:rsidRDefault="001C54F9" w:rsidP="003D2D38">
            <w:pPr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/>
                <w:color w:val="000000" w:themeColor="text1"/>
                <w:sz w:val="24"/>
                <w:szCs w:val="24"/>
              </w:rPr>
              <w:sym w:font="Wingdings" w:char="F0FE"/>
            </w:r>
            <w:r w:rsidR="0056357F" w:rsidRPr="003D2D38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5.参与集中的经营者收购境外企业股权或资产的，该境外企业不在中国境内从事经济活动。</w:t>
            </w:r>
          </w:p>
        </w:tc>
      </w:tr>
      <w:tr w:rsidR="00752595" w:rsidRPr="003D2D38" w14:paraId="5EFCE6DA" w14:textId="77777777" w:rsidTr="00CB00DF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6D04D2FD" w14:textId="77777777" w:rsidR="0056357F" w:rsidRPr="003D2D38" w:rsidRDefault="0056357F" w:rsidP="003D2D3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9" w:type="dxa"/>
            <w:gridSpan w:val="2"/>
          </w:tcPr>
          <w:p w14:paraId="6D1F25E0" w14:textId="2C2C1EF5" w:rsidR="0056357F" w:rsidRPr="003D2D38" w:rsidRDefault="0056357F" w:rsidP="003D2D38">
            <w:pPr>
              <w:adjustRightInd w:val="0"/>
              <w:snapToGrid w:val="0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/>
                <w:color w:val="000000" w:themeColor="text1"/>
                <w:sz w:val="24"/>
                <w:szCs w:val="24"/>
              </w:rPr>
              <w:sym w:font="Wingdings" w:char="F0A8"/>
            </w:r>
            <w:r w:rsidRPr="003D2D38"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6.由两个以上的经营者共同控制的合营企业，通过集中被其中一个或一个以上经营者控制。</w:t>
            </w:r>
          </w:p>
        </w:tc>
      </w:tr>
      <w:tr w:rsidR="00752595" w:rsidRPr="003D2D38" w14:paraId="1518675C" w14:textId="77777777" w:rsidTr="00CB00DF">
        <w:tc>
          <w:tcPr>
            <w:tcW w:w="1809" w:type="dxa"/>
            <w:shd w:val="clear" w:color="auto" w:fill="D9D9D9"/>
            <w:vAlign w:val="center"/>
          </w:tcPr>
          <w:p w14:paraId="2731295D" w14:textId="77777777" w:rsidR="0056357F" w:rsidRPr="003D2D38" w:rsidRDefault="0056357F" w:rsidP="003D2D38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9" w:type="dxa"/>
            <w:gridSpan w:val="2"/>
          </w:tcPr>
          <w:p w14:paraId="240CAB67" w14:textId="6C0F587E" w:rsidR="00CA3A64" w:rsidRPr="003D2D38" w:rsidRDefault="00C872F6" w:rsidP="003D2D38">
            <w:pPr>
              <w:adjustRightInd w:val="0"/>
              <w:snapToGrid w:val="0"/>
              <w:ind w:left="66"/>
              <w:rPr>
                <w:rFonts w:ascii="宋体" w:hAnsi="宋体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3D2D38"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不适用</w:t>
            </w:r>
          </w:p>
        </w:tc>
      </w:tr>
    </w:tbl>
    <w:p w14:paraId="0D3BD4D7" w14:textId="77777777" w:rsidR="000F5E24" w:rsidRPr="00752595" w:rsidRDefault="0068024E" w:rsidP="00554B02">
      <w:pPr>
        <w:rPr>
          <w:rFonts w:ascii="Times New Roman" w:hAnsi="Times New Roman"/>
          <w:color w:val="000000" w:themeColor="text1"/>
        </w:rPr>
      </w:pPr>
    </w:p>
    <w:sectPr w:rsidR="000F5E24" w:rsidRPr="00752595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3A2F" w14:textId="77777777" w:rsidR="00962DE2" w:rsidRDefault="00962DE2" w:rsidP="002B7EA6">
      <w:r>
        <w:separator/>
      </w:r>
    </w:p>
  </w:endnote>
  <w:endnote w:type="continuationSeparator" w:id="0">
    <w:p w14:paraId="4456E99A" w14:textId="77777777" w:rsidR="00962DE2" w:rsidRDefault="00962DE2" w:rsidP="002B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EB7E" w14:textId="77777777" w:rsidR="00962DE2" w:rsidRDefault="00962DE2" w:rsidP="002B7EA6">
      <w:r>
        <w:separator/>
      </w:r>
    </w:p>
  </w:footnote>
  <w:footnote w:type="continuationSeparator" w:id="0">
    <w:p w14:paraId="74A96230" w14:textId="77777777" w:rsidR="00962DE2" w:rsidRDefault="00962DE2" w:rsidP="002B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F88"/>
    <w:multiLevelType w:val="hybridMultilevel"/>
    <w:tmpl w:val="BDE692D4"/>
    <w:lvl w:ilvl="0" w:tplc="08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 w15:restartNumberingAfterBreak="0">
    <w:nsid w:val="27453F94"/>
    <w:multiLevelType w:val="hybridMultilevel"/>
    <w:tmpl w:val="A22AD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133A4"/>
    <w:multiLevelType w:val="hybridMultilevel"/>
    <w:tmpl w:val="CAF4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5296">
    <w:abstractNumId w:val="1"/>
  </w:num>
  <w:num w:numId="2" w16cid:durableId="1356347305">
    <w:abstractNumId w:val="2"/>
  </w:num>
  <w:num w:numId="3" w16cid:durableId="209092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styleLockQFSet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F"/>
    <w:rsid w:val="000051E7"/>
    <w:rsid w:val="00014361"/>
    <w:rsid w:val="0001522C"/>
    <w:rsid w:val="000174C7"/>
    <w:rsid w:val="00023E32"/>
    <w:rsid w:val="00037065"/>
    <w:rsid w:val="00071B4F"/>
    <w:rsid w:val="000B7A5A"/>
    <w:rsid w:val="000C3C35"/>
    <w:rsid w:val="000D3503"/>
    <w:rsid w:val="000D5B52"/>
    <w:rsid w:val="000D7EBA"/>
    <w:rsid w:val="000E69B8"/>
    <w:rsid w:val="000E7983"/>
    <w:rsid w:val="000F2FBE"/>
    <w:rsid w:val="000F7BEF"/>
    <w:rsid w:val="001009BF"/>
    <w:rsid w:val="001031AB"/>
    <w:rsid w:val="00103BB3"/>
    <w:rsid w:val="0011086D"/>
    <w:rsid w:val="001164CD"/>
    <w:rsid w:val="00141AD6"/>
    <w:rsid w:val="00155717"/>
    <w:rsid w:val="00156C26"/>
    <w:rsid w:val="00161115"/>
    <w:rsid w:val="0018334E"/>
    <w:rsid w:val="001837A3"/>
    <w:rsid w:val="00187C1A"/>
    <w:rsid w:val="001B6DD6"/>
    <w:rsid w:val="001C112E"/>
    <w:rsid w:val="001C54F9"/>
    <w:rsid w:val="001D7A0E"/>
    <w:rsid w:val="001E194D"/>
    <w:rsid w:val="001E3A19"/>
    <w:rsid w:val="001E41FF"/>
    <w:rsid w:val="002165BB"/>
    <w:rsid w:val="00230BDB"/>
    <w:rsid w:val="00235512"/>
    <w:rsid w:val="00235F22"/>
    <w:rsid w:val="002423D2"/>
    <w:rsid w:val="00271620"/>
    <w:rsid w:val="0029546B"/>
    <w:rsid w:val="002A2528"/>
    <w:rsid w:val="002A2BE1"/>
    <w:rsid w:val="002A4976"/>
    <w:rsid w:val="002B7EA6"/>
    <w:rsid w:val="002D6FF0"/>
    <w:rsid w:val="002E5AF4"/>
    <w:rsid w:val="00307680"/>
    <w:rsid w:val="00313C15"/>
    <w:rsid w:val="00314006"/>
    <w:rsid w:val="0031643E"/>
    <w:rsid w:val="00325FED"/>
    <w:rsid w:val="0034193A"/>
    <w:rsid w:val="00350FEB"/>
    <w:rsid w:val="00351679"/>
    <w:rsid w:val="00364887"/>
    <w:rsid w:val="00365713"/>
    <w:rsid w:val="00375E19"/>
    <w:rsid w:val="00381B72"/>
    <w:rsid w:val="00382B05"/>
    <w:rsid w:val="00392330"/>
    <w:rsid w:val="003B07E0"/>
    <w:rsid w:val="003C071F"/>
    <w:rsid w:val="003C0AEB"/>
    <w:rsid w:val="003C78BD"/>
    <w:rsid w:val="003D2D38"/>
    <w:rsid w:val="003E726F"/>
    <w:rsid w:val="00414CD2"/>
    <w:rsid w:val="004442EE"/>
    <w:rsid w:val="0045358D"/>
    <w:rsid w:val="00482832"/>
    <w:rsid w:val="00483B24"/>
    <w:rsid w:val="004C2BEB"/>
    <w:rsid w:val="004C3155"/>
    <w:rsid w:val="004D551C"/>
    <w:rsid w:val="004E4DDA"/>
    <w:rsid w:val="004F34E9"/>
    <w:rsid w:val="004F7688"/>
    <w:rsid w:val="00502BA7"/>
    <w:rsid w:val="00510480"/>
    <w:rsid w:val="00536FD0"/>
    <w:rsid w:val="00554B02"/>
    <w:rsid w:val="0056357F"/>
    <w:rsid w:val="00572E55"/>
    <w:rsid w:val="005801F0"/>
    <w:rsid w:val="00582C31"/>
    <w:rsid w:val="005835A4"/>
    <w:rsid w:val="005908B9"/>
    <w:rsid w:val="005C3C24"/>
    <w:rsid w:val="005D5006"/>
    <w:rsid w:val="005E28C1"/>
    <w:rsid w:val="00602683"/>
    <w:rsid w:val="0061325B"/>
    <w:rsid w:val="0062144C"/>
    <w:rsid w:val="00643560"/>
    <w:rsid w:val="006467D8"/>
    <w:rsid w:val="006619F8"/>
    <w:rsid w:val="00664F6A"/>
    <w:rsid w:val="00670951"/>
    <w:rsid w:val="0068024E"/>
    <w:rsid w:val="00686232"/>
    <w:rsid w:val="006A531B"/>
    <w:rsid w:val="006C19BD"/>
    <w:rsid w:val="006D6AEF"/>
    <w:rsid w:val="006D6CA1"/>
    <w:rsid w:val="006F7693"/>
    <w:rsid w:val="00710140"/>
    <w:rsid w:val="00716703"/>
    <w:rsid w:val="007254A9"/>
    <w:rsid w:val="00730BAF"/>
    <w:rsid w:val="00742920"/>
    <w:rsid w:val="00752595"/>
    <w:rsid w:val="00770D7C"/>
    <w:rsid w:val="00782A6D"/>
    <w:rsid w:val="00792C21"/>
    <w:rsid w:val="007A127A"/>
    <w:rsid w:val="007D7BDB"/>
    <w:rsid w:val="007F2275"/>
    <w:rsid w:val="00806960"/>
    <w:rsid w:val="00826782"/>
    <w:rsid w:val="00830DD6"/>
    <w:rsid w:val="0083552A"/>
    <w:rsid w:val="0087027C"/>
    <w:rsid w:val="00874CDC"/>
    <w:rsid w:val="0089115D"/>
    <w:rsid w:val="00891185"/>
    <w:rsid w:val="008979E8"/>
    <w:rsid w:val="008A0E13"/>
    <w:rsid w:val="008A35D6"/>
    <w:rsid w:val="008A3A80"/>
    <w:rsid w:val="008C0D09"/>
    <w:rsid w:val="008D4535"/>
    <w:rsid w:val="008E58A7"/>
    <w:rsid w:val="008F3A4E"/>
    <w:rsid w:val="0090012E"/>
    <w:rsid w:val="00901A10"/>
    <w:rsid w:val="009142D3"/>
    <w:rsid w:val="00915F0F"/>
    <w:rsid w:val="0091668F"/>
    <w:rsid w:val="00921C86"/>
    <w:rsid w:val="00930B4A"/>
    <w:rsid w:val="009532DF"/>
    <w:rsid w:val="00962DE2"/>
    <w:rsid w:val="00971FBD"/>
    <w:rsid w:val="009743AF"/>
    <w:rsid w:val="009816F9"/>
    <w:rsid w:val="00997019"/>
    <w:rsid w:val="009A5029"/>
    <w:rsid w:val="009A67F9"/>
    <w:rsid w:val="009A6D78"/>
    <w:rsid w:val="009B1C83"/>
    <w:rsid w:val="009B2358"/>
    <w:rsid w:val="009C1263"/>
    <w:rsid w:val="009C577D"/>
    <w:rsid w:val="009D38D5"/>
    <w:rsid w:val="009E254D"/>
    <w:rsid w:val="009F1DE6"/>
    <w:rsid w:val="00A30F29"/>
    <w:rsid w:val="00A314F2"/>
    <w:rsid w:val="00A45A5B"/>
    <w:rsid w:val="00A53F26"/>
    <w:rsid w:val="00A55365"/>
    <w:rsid w:val="00A70079"/>
    <w:rsid w:val="00A7096F"/>
    <w:rsid w:val="00A86983"/>
    <w:rsid w:val="00A92BE7"/>
    <w:rsid w:val="00AA0CC5"/>
    <w:rsid w:val="00AA5428"/>
    <w:rsid w:val="00AB04BF"/>
    <w:rsid w:val="00AD59F6"/>
    <w:rsid w:val="00AE12B8"/>
    <w:rsid w:val="00AF057F"/>
    <w:rsid w:val="00AF2DD2"/>
    <w:rsid w:val="00B0106D"/>
    <w:rsid w:val="00B05E8B"/>
    <w:rsid w:val="00B06BAB"/>
    <w:rsid w:val="00B07137"/>
    <w:rsid w:val="00B12B19"/>
    <w:rsid w:val="00B16AFE"/>
    <w:rsid w:val="00B213E1"/>
    <w:rsid w:val="00B23CE4"/>
    <w:rsid w:val="00B331F2"/>
    <w:rsid w:val="00B45BFB"/>
    <w:rsid w:val="00B51369"/>
    <w:rsid w:val="00B65DD5"/>
    <w:rsid w:val="00B6664C"/>
    <w:rsid w:val="00B95957"/>
    <w:rsid w:val="00BB6566"/>
    <w:rsid w:val="00BC23D2"/>
    <w:rsid w:val="00BD10B6"/>
    <w:rsid w:val="00C040D4"/>
    <w:rsid w:val="00C07076"/>
    <w:rsid w:val="00C21511"/>
    <w:rsid w:val="00C40D66"/>
    <w:rsid w:val="00C42A8A"/>
    <w:rsid w:val="00C446CE"/>
    <w:rsid w:val="00C81116"/>
    <w:rsid w:val="00C84504"/>
    <w:rsid w:val="00C872F6"/>
    <w:rsid w:val="00C92C3E"/>
    <w:rsid w:val="00CA3A64"/>
    <w:rsid w:val="00CA48CF"/>
    <w:rsid w:val="00CB00DF"/>
    <w:rsid w:val="00CB07DC"/>
    <w:rsid w:val="00CB2CC7"/>
    <w:rsid w:val="00CD192B"/>
    <w:rsid w:val="00CE70B0"/>
    <w:rsid w:val="00D22B34"/>
    <w:rsid w:val="00D33EE5"/>
    <w:rsid w:val="00D43989"/>
    <w:rsid w:val="00D47D7E"/>
    <w:rsid w:val="00D73C72"/>
    <w:rsid w:val="00D7608F"/>
    <w:rsid w:val="00D85808"/>
    <w:rsid w:val="00DA024D"/>
    <w:rsid w:val="00DC073B"/>
    <w:rsid w:val="00DD74F3"/>
    <w:rsid w:val="00DE68F2"/>
    <w:rsid w:val="00DF7D84"/>
    <w:rsid w:val="00E04555"/>
    <w:rsid w:val="00E0592B"/>
    <w:rsid w:val="00E05B2E"/>
    <w:rsid w:val="00E12DE1"/>
    <w:rsid w:val="00E20E71"/>
    <w:rsid w:val="00E21E98"/>
    <w:rsid w:val="00E31738"/>
    <w:rsid w:val="00E33177"/>
    <w:rsid w:val="00E35B5B"/>
    <w:rsid w:val="00E4309C"/>
    <w:rsid w:val="00E55BF1"/>
    <w:rsid w:val="00E75354"/>
    <w:rsid w:val="00E80BD0"/>
    <w:rsid w:val="00E8192E"/>
    <w:rsid w:val="00E83805"/>
    <w:rsid w:val="00E8634C"/>
    <w:rsid w:val="00E86786"/>
    <w:rsid w:val="00E903BB"/>
    <w:rsid w:val="00E93091"/>
    <w:rsid w:val="00EB2EBE"/>
    <w:rsid w:val="00EC7226"/>
    <w:rsid w:val="00ED2F80"/>
    <w:rsid w:val="00EE039D"/>
    <w:rsid w:val="00EE30EF"/>
    <w:rsid w:val="00EF464C"/>
    <w:rsid w:val="00EF78D6"/>
    <w:rsid w:val="00F1624E"/>
    <w:rsid w:val="00F169DE"/>
    <w:rsid w:val="00F2497C"/>
    <w:rsid w:val="00F32F8A"/>
    <w:rsid w:val="00F445FA"/>
    <w:rsid w:val="00F46E4B"/>
    <w:rsid w:val="00F5229B"/>
    <w:rsid w:val="00F56680"/>
    <w:rsid w:val="00F6073D"/>
    <w:rsid w:val="00F61028"/>
    <w:rsid w:val="00F66970"/>
    <w:rsid w:val="00F7118B"/>
    <w:rsid w:val="00F810AA"/>
    <w:rsid w:val="00F85624"/>
    <w:rsid w:val="00F9127E"/>
    <w:rsid w:val="00FB43EC"/>
    <w:rsid w:val="00FB6B40"/>
    <w:rsid w:val="00FC40A6"/>
    <w:rsid w:val="00FD5561"/>
    <w:rsid w:val="00FD770C"/>
    <w:rsid w:val="00FE4AB5"/>
    <w:rsid w:val="00FE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B7D7E4"/>
  <w15:docId w15:val="{235F744D-8C12-4028-9FCF-E37549C7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0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EA6"/>
    <w:rPr>
      <w:rFonts w:ascii="Calibri" w:eastAsia="宋体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7E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EA6"/>
    <w:rPr>
      <w:rFonts w:ascii="Calibri" w:eastAsia="宋体" w:hAnsi="Calibri" w:cs="Times New Roman"/>
    </w:rPr>
  </w:style>
  <w:style w:type="character" w:styleId="Hyperlink">
    <w:name w:val="Hyperlink"/>
    <w:basedOn w:val="DefaultParagraphFont"/>
    <w:uiPriority w:val="99"/>
    <w:unhideWhenUsed/>
    <w:rsid w:val="008D45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53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6357F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6357F"/>
    <w:rPr>
      <w:rFonts w:ascii="Times New Roman" w:eastAsia="宋体" w:hAnsi="Times New Roman" w:cs="Times New Roman"/>
      <w:szCs w:val="24"/>
    </w:rPr>
  </w:style>
  <w:style w:type="table" w:styleId="TableGrid">
    <w:name w:val="Table Grid"/>
    <w:basedOn w:val="TableNormal"/>
    <w:uiPriority w:val="39"/>
    <w:rsid w:val="00235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4C"/>
    <w:rPr>
      <w:rFonts w:ascii="Segoe UI" w:eastAsia="宋体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2DD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9546B"/>
    <w:rPr>
      <w:rFonts w:ascii="Calibri" w:eastAsia="宋体" w:hAnsi="Calibri" w:cs="Times New Roman"/>
    </w:rPr>
  </w:style>
  <w:style w:type="paragraph" w:styleId="MacroText">
    <w:name w:val="macro"/>
    <w:link w:val="MacroTextChar"/>
    <w:uiPriority w:val="99"/>
    <w:semiHidden/>
    <w:unhideWhenUsed/>
    <w:rsid w:val="00A92B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宋体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BE7"/>
    <w:rPr>
      <w:rFonts w:ascii="Consolas" w:eastAsia="宋体" w:hAnsi="Consola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7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26F"/>
    <w:rPr>
      <w:rFonts w:ascii="Calibri" w:eastAsia="宋体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26F"/>
    <w:rPr>
      <w:rFonts w:ascii="Calibri" w:eastAsia="宋体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Yongli Xu</dc:creator>
  <cp:lastModifiedBy>DaHui Lawyers</cp:lastModifiedBy>
  <cp:revision>5</cp:revision>
  <dcterms:created xsi:type="dcterms:W3CDTF">2022-09-07T09:16:00Z</dcterms:created>
  <dcterms:modified xsi:type="dcterms:W3CDTF">2022-09-08T09:07:00Z</dcterms:modified>
</cp:coreProperties>
</file>