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spacing w:line="590" w:lineRule="exact"/>
        <w:jc w:val="center"/>
        <w:textAlignment w:val="auto"/>
        <w:rPr>
          <w:rFonts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河南省市场监督管理局</w:t>
      </w:r>
    </w:p>
    <w:p>
      <w:pPr>
        <w:keepNext w:val="0"/>
        <w:keepLines w:val="0"/>
        <w:pageBreakBefore w:val="0"/>
        <w:widowControl w:val="0"/>
        <w:kinsoku/>
        <w:topLinePunct w:val="0"/>
        <w:autoSpaceDE/>
        <w:autoSpaceDN/>
        <w:bidi w:val="0"/>
        <w:spacing w:line="590" w:lineRule="exact"/>
        <w:jc w:val="center"/>
        <w:textAlignment w:val="auto"/>
        <w:rPr>
          <w:rFonts w:hint="eastAsia" w:ascii="方正小标宋简体" w:hAnsi="方正小标宋_GBK" w:eastAsia="方正小标宋简体" w:cs="方正小标宋_GBK"/>
          <w:color w:val="auto"/>
          <w:sz w:val="44"/>
          <w:szCs w:val="44"/>
          <w:lang w:eastAsia="zh-CN"/>
        </w:rPr>
      </w:pPr>
      <w:r>
        <w:rPr>
          <w:rFonts w:hint="eastAsia" w:ascii="方正小标宋简体" w:hAnsi="方正小标宋_GBK" w:eastAsia="方正小标宋简体" w:cs="方正小标宋_GBK"/>
          <w:color w:val="auto"/>
          <w:sz w:val="44"/>
          <w:szCs w:val="44"/>
          <w:lang w:eastAsia="zh-CN"/>
        </w:rPr>
        <w:t>行政处罚决定书</w:t>
      </w:r>
    </w:p>
    <w:p>
      <w:pPr>
        <w:keepNext w:val="0"/>
        <w:keepLines w:val="0"/>
        <w:pageBreakBefore w:val="0"/>
        <w:widowControl w:val="0"/>
        <w:kinsoku/>
        <w:topLinePunct w:val="0"/>
        <w:autoSpaceDE/>
        <w:autoSpaceDN/>
        <w:bidi w:val="0"/>
        <w:spacing w:line="590" w:lineRule="exact"/>
        <w:jc w:val="center"/>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eastAsia="zh-CN"/>
        </w:rPr>
        <w:t>豫市监处罚〔</w:t>
      </w:r>
      <w:r>
        <w:rPr>
          <w:rFonts w:hint="eastAsia" w:ascii="CESI仿宋-GB2312" w:hAnsi="CESI仿宋-GB2312" w:eastAsia="CESI仿宋-GB2312" w:cs="CESI仿宋-GB2312"/>
          <w:color w:val="auto"/>
          <w:sz w:val="32"/>
          <w:szCs w:val="32"/>
          <w:lang w:val="en-US" w:eastAsia="zh-CN"/>
        </w:rPr>
        <w:t>2021</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2-18号</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黑体" w:hAnsi="黑体" w:eastAsia="黑体" w:cs="黑体"/>
          <w:bCs/>
          <w:color w:val="auto"/>
          <w:sz w:val="32"/>
          <w:szCs w:val="32"/>
        </w:rPr>
      </w:pP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一、当事人</w:t>
      </w:r>
      <w:r>
        <w:rPr>
          <w:rFonts w:hint="eastAsia" w:ascii="黑体" w:hAnsi="黑体" w:eastAsia="黑体" w:cs="黑体"/>
          <w:bCs/>
          <w:color w:val="auto"/>
          <w:sz w:val="32"/>
          <w:szCs w:val="32"/>
          <w:lang w:eastAsia="zh-CN"/>
        </w:rPr>
        <w:t>基本</w:t>
      </w:r>
      <w:r>
        <w:rPr>
          <w:rFonts w:hint="eastAsia" w:ascii="黑体" w:hAnsi="黑体" w:eastAsia="黑体" w:cs="黑体"/>
          <w:bCs/>
          <w:color w:val="auto"/>
          <w:sz w:val="32"/>
          <w:szCs w:val="32"/>
        </w:rPr>
        <w:t>情况</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当事人：郑州万方企业信用评估有限公司</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主体资格证照名称：营业执照</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统一</w:t>
      </w:r>
      <w:r>
        <w:rPr>
          <w:rFonts w:hint="eastAsia" w:ascii="仿宋_GB2312" w:hAnsi="仿宋" w:eastAsia="仿宋_GB2312" w:cs="仿宋"/>
          <w:color w:val="auto"/>
          <w:sz w:val="32"/>
          <w:szCs w:val="32"/>
          <w:lang w:eastAsia="zh-CN"/>
        </w:rPr>
        <w:t>社会信用代码</w:t>
      </w:r>
      <w:r>
        <w:rPr>
          <w:rFonts w:hint="eastAsia" w:ascii="仿宋_GB2312" w:hAnsi="仿宋" w:eastAsia="仿宋_GB2312" w:cs="仿宋"/>
          <w:color w:val="auto"/>
          <w:sz w:val="32"/>
          <w:szCs w:val="32"/>
        </w:rPr>
        <w:t>：91410105678094522B</w:t>
      </w:r>
    </w:p>
    <w:p>
      <w:pPr>
        <w:keepNext w:val="0"/>
        <w:keepLines w:val="0"/>
        <w:pageBreakBefore w:val="0"/>
        <w:widowControl w:val="0"/>
        <w:kinsoku/>
        <w:topLinePunct w:val="0"/>
        <w:autoSpaceDE/>
        <w:autoSpaceDN/>
        <w:bidi w:val="0"/>
        <w:spacing w:line="590" w:lineRule="exact"/>
        <w:ind w:left="1918" w:leftChars="304" w:hanging="1280" w:hangingChars="4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住</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所：河南省郑州市金水区南阳路46号2号楼9楼82号</w:t>
      </w:r>
    </w:p>
    <w:p>
      <w:pPr>
        <w:keepNext w:val="0"/>
        <w:keepLines w:val="0"/>
        <w:pageBreakBefore w:val="0"/>
        <w:widowControl w:val="0"/>
        <w:kinsoku/>
        <w:topLinePunct w:val="0"/>
        <w:autoSpaceDE/>
        <w:autoSpaceDN/>
        <w:bidi w:val="0"/>
        <w:spacing w:line="590" w:lineRule="exact"/>
        <w:ind w:firstLine="640" w:firstLineChars="200"/>
        <w:textAlignment w:val="auto"/>
        <w:rPr>
          <w:rFonts w:hint="default" w:ascii="仿宋_GB2312" w:hAnsi="仿宋" w:eastAsia="仿宋_GB2312" w:cs="仿宋"/>
          <w:color w:val="auto"/>
          <w:sz w:val="32"/>
          <w:szCs w:val="32"/>
          <w:lang w:val="en"/>
        </w:rPr>
      </w:pPr>
      <w:r>
        <w:rPr>
          <w:rFonts w:hint="eastAsia" w:ascii="仿宋_GB2312" w:hAnsi="仿宋" w:eastAsia="仿宋_GB2312" w:cs="仿宋"/>
          <w:color w:val="auto"/>
          <w:sz w:val="32"/>
          <w:szCs w:val="32"/>
          <w:lang w:eastAsia="zh-CN"/>
        </w:rPr>
        <w:t>法定代表人：</w:t>
      </w:r>
      <w:r>
        <w:rPr>
          <w:rFonts w:hint="default" w:ascii="仿宋_GB2312" w:hAnsi="仿宋" w:eastAsia="仿宋_GB2312" w:cs="仿宋"/>
          <w:color w:val="auto"/>
          <w:sz w:val="32"/>
          <w:szCs w:val="32"/>
          <w:lang w:val="en" w:eastAsia="zh-CN"/>
        </w:rPr>
        <w:t>**</w:t>
      </w:r>
    </w:p>
    <w:p>
      <w:pPr>
        <w:keepNext w:val="0"/>
        <w:keepLines w:val="0"/>
        <w:pageBreakBefore w:val="0"/>
        <w:widowControl w:val="0"/>
        <w:kinsoku/>
        <w:topLinePunct w:val="0"/>
        <w:autoSpaceDE/>
        <w:autoSpaceDN/>
        <w:bidi w:val="0"/>
        <w:spacing w:line="590" w:lineRule="exact"/>
        <w:ind w:left="2238" w:leftChars="304" w:hanging="1600" w:hangingChars="5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业务范围：企业信用调查和评估；企业征信业务等。</w:t>
      </w: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二、案件来源及调查经过</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CESI仿宋-GB2312" w:hAnsi="CESI仿宋-GB2312" w:eastAsia="CESI仿宋-GB2312" w:cs="CESI仿宋-GB2312"/>
          <w:color w:val="auto"/>
          <w:sz w:val="32"/>
          <w:szCs w:val="32"/>
          <w:lang w:eastAsia="zh-CN"/>
        </w:rPr>
        <w:t>根据举报，</w:t>
      </w:r>
      <w:r>
        <w:rPr>
          <w:rFonts w:hint="eastAsia" w:ascii="CESI仿宋-GB2312" w:hAnsi="CESI仿宋-GB2312" w:eastAsia="CESI仿宋-GB2312" w:cs="CESI仿宋-GB2312"/>
          <w:color w:val="auto"/>
          <w:sz w:val="32"/>
          <w:szCs w:val="32"/>
          <w:lang w:val="en-US" w:eastAsia="zh-CN"/>
        </w:rPr>
        <w:t>2019年7月起，本机关依据</w:t>
      </w:r>
      <w:r>
        <w:rPr>
          <w:rFonts w:hint="eastAsia" w:ascii="CESI仿宋-GB2312" w:hAnsi="CESI仿宋-GB2312" w:eastAsia="CESI仿宋-GB2312" w:cs="CESI仿宋-GB2312"/>
          <w:sz w:val="32"/>
          <w:szCs w:val="32"/>
          <w:lang w:eastAsia="zh-CN"/>
        </w:rPr>
        <w:t>《中华人民共和国反垄断法》（以下简称《反垄断法》）、《市场监管总局关于反垄断执法授权的通知》（国市监反垄断管〔</w:t>
      </w:r>
      <w:r>
        <w:rPr>
          <w:rFonts w:hint="eastAsia" w:ascii="CESI仿宋-GB2312" w:hAnsi="CESI仿宋-GB2312" w:eastAsia="CESI仿宋-GB2312" w:cs="CESI仿宋-GB2312"/>
          <w:sz w:val="32"/>
          <w:szCs w:val="32"/>
          <w:lang w:val="en-US" w:eastAsia="zh-CN"/>
        </w:rPr>
        <w:t>2018</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265号</w:t>
      </w:r>
      <w:r>
        <w:rPr>
          <w:rFonts w:hint="eastAsia" w:ascii="CESI仿宋-GB2312" w:hAnsi="CESI仿宋-GB2312" w:eastAsia="CESI仿宋-GB2312" w:cs="CESI仿宋-GB2312"/>
          <w:sz w:val="32"/>
          <w:szCs w:val="32"/>
          <w:lang w:eastAsia="zh-CN"/>
        </w:rPr>
        <w:t>）、《禁止垄断协议暂行规定》（</w:t>
      </w:r>
      <w:r>
        <w:rPr>
          <w:rFonts w:hint="eastAsia" w:ascii="CESI仿宋-GB2312" w:hAnsi="CESI仿宋-GB2312" w:eastAsia="CESI仿宋-GB2312" w:cs="CESI仿宋-GB2312"/>
          <w:sz w:val="32"/>
          <w:szCs w:val="32"/>
          <w:lang w:val="en-US" w:eastAsia="zh-CN"/>
        </w:rPr>
        <w:t>2019年6月26日国家市场监督管理总局令第10号公布</w:t>
      </w:r>
      <w:r>
        <w:rPr>
          <w:rFonts w:hint="eastAsia" w:ascii="CESI仿宋-GB2312" w:hAnsi="CESI仿宋-GB2312" w:eastAsia="CESI仿宋-GB2312" w:cs="CESI仿宋-GB2312"/>
          <w:sz w:val="32"/>
          <w:szCs w:val="32"/>
          <w:lang w:eastAsia="zh-CN"/>
        </w:rPr>
        <w:t>）等对当事人</w:t>
      </w:r>
      <w:r>
        <w:rPr>
          <w:rFonts w:hint="eastAsia" w:ascii="CESI仿宋-GB2312" w:hAnsi="CESI仿宋-GB2312" w:eastAsia="CESI仿宋-GB2312" w:cs="CESI仿宋-GB2312"/>
          <w:sz w:val="32"/>
          <w:szCs w:val="32"/>
        </w:rPr>
        <w:t>涉嫌</w:t>
      </w:r>
      <w:r>
        <w:rPr>
          <w:rFonts w:hint="eastAsia" w:ascii="CESI仿宋-GB2312" w:hAnsi="CESI仿宋-GB2312" w:eastAsia="CESI仿宋-GB2312" w:cs="CESI仿宋-GB2312"/>
          <w:sz w:val="32"/>
          <w:szCs w:val="32"/>
          <w:lang w:eastAsia="zh-CN"/>
        </w:rPr>
        <w:t>达成、实施垄断协议的行为</w:t>
      </w:r>
      <w:r>
        <w:rPr>
          <w:rFonts w:hint="eastAsia" w:ascii="CESI仿宋-GB2312" w:hAnsi="CESI仿宋-GB2312" w:eastAsia="CESI仿宋-GB2312" w:cs="CESI仿宋-GB2312"/>
          <w:sz w:val="32"/>
          <w:szCs w:val="32"/>
        </w:rPr>
        <w:t>开展了调查</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2020年5月14日，本机关立案。</w:t>
      </w:r>
      <w:r>
        <w:rPr>
          <w:rFonts w:hint="eastAsia" w:ascii="Times New Roman" w:hAnsi="Times New Roman" w:eastAsia="仿宋_GB2312"/>
          <w:color w:val="auto"/>
          <w:sz w:val="32"/>
          <w:szCs w:val="32"/>
        </w:rPr>
        <w:t>期间，本机关进行了现场检查、调查询问，提取了相关证据材料，并多次听取当事人陈述申辩意见，保障当事人合法权利。</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202</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年</w:t>
      </w: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月</w:t>
      </w:r>
      <w:r>
        <w:rPr>
          <w:rFonts w:hint="eastAsia" w:ascii="仿宋_GB2312" w:hAnsi="仿宋" w:eastAsia="仿宋_GB2312" w:cs="仿宋"/>
          <w:color w:val="auto"/>
          <w:sz w:val="32"/>
          <w:szCs w:val="32"/>
          <w:lang w:val="en-US" w:eastAsia="zh-CN"/>
        </w:rPr>
        <w:t>25</w:t>
      </w:r>
      <w:r>
        <w:rPr>
          <w:rFonts w:hint="eastAsia" w:ascii="仿宋_GB2312" w:hAnsi="仿宋" w:eastAsia="仿宋_GB2312" w:cs="仿宋"/>
          <w:color w:val="auto"/>
          <w:sz w:val="32"/>
          <w:szCs w:val="32"/>
        </w:rPr>
        <w:t>日，本机关</w:t>
      </w:r>
      <w:r>
        <w:rPr>
          <w:rFonts w:hint="eastAsia" w:ascii="仿宋_GB2312" w:hAnsi="仿宋" w:eastAsia="仿宋_GB2312" w:cs="仿宋"/>
          <w:color w:val="auto"/>
          <w:sz w:val="32"/>
          <w:szCs w:val="32"/>
          <w:lang w:eastAsia="zh-CN"/>
        </w:rPr>
        <w:t>依法</w:t>
      </w:r>
      <w:r>
        <w:rPr>
          <w:rFonts w:hint="eastAsia" w:ascii="仿宋_GB2312" w:hAnsi="仿宋" w:eastAsia="仿宋_GB2312" w:cs="仿宋"/>
          <w:color w:val="auto"/>
          <w:sz w:val="32"/>
          <w:szCs w:val="32"/>
        </w:rPr>
        <w:t>向当事人送达了《行政处罚告知书》（豫市监罚告〔2021〕2-</w:t>
      </w:r>
      <w:r>
        <w:rPr>
          <w:rFonts w:hint="eastAsia" w:ascii="仿宋_GB2312" w:hAnsi="仿宋" w:eastAsia="仿宋_GB2312" w:cs="仿宋"/>
          <w:color w:val="auto"/>
          <w:sz w:val="32"/>
          <w:szCs w:val="32"/>
          <w:lang w:val="en-US" w:eastAsia="zh-CN"/>
        </w:rPr>
        <w:t>18</w:t>
      </w:r>
      <w:r>
        <w:rPr>
          <w:rFonts w:hint="eastAsia" w:ascii="仿宋_GB2312" w:hAnsi="仿宋" w:eastAsia="仿宋_GB2312" w:cs="仿宋"/>
          <w:color w:val="auto"/>
          <w:sz w:val="32"/>
          <w:szCs w:val="32"/>
        </w:rPr>
        <w:t>号），告知了当事人拟作出行政处罚的事实、理由、依据和处罚内容，并告知当事人享有陈述、申辩的权利。当事人在规定期限内未向本机关提出陈述、申辩意见</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三、违法事实及相关证据</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经查，201</w:t>
      </w:r>
      <w:r>
        <w:rPr>
          <w:rFonts w:hint="eastAsia" w:ascii="仿宋_GB2312" w:hAnsi="仿宋" w:eastAsia="仿宋_GB2312" w:cs="仿宋"/>
          <w:color w:val="auto"/>
          <w:sz w:val="32"/>
          <w:szCs w:val="32"/>
          <w:lang w:val="en-US" w:eastAsia="zh-CN"/>
        </w:rPr>
        <w:t>8</w:t>
      </w:r>
      <w:r>
        <w:rPr>
          <w:rFonts w:hint="eastAsia" w:ascii="仿宋_GB2312" w:hAnsi="仿宋" w:eastAsia="仿宋_GB2312" w:cs="仿宋"/>
          <w:color w:val="auto"/>
          <w:sz w:val="32"/>
          <w:szCs w:val="32"/>
        </w:rPr>
        <w:t>年至2019年期间，当事人与中岂认证中心有限公司</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河南中泰信用评价有限公司</w:t>
      </w:r>
      <w:r>
        <w:rPr>
          <w:rFonts w:hint="eastAsia" w:ascii="仿宋_GB2312" w:hAnsi="仿宋" w:eastAsia="仿宋_GB2312" w:cs="仿宋"/>
          <w:color w:val="auto"/>
          <w:sz w:val="32"/>
          <w:szCs w:val="32"/>
          <w:lang w:eastAsia="zh-CN"/>
        </w:rPr>
        <w:t>等</w:t>
      </w:r>
      <w:r>
        <w:rPr>
          <w:rFonts w:hint="eastAsia" w:ascii="仿宋_GB2312" w:hAnsi="仿宋" w:eastAsia="仿宋_GB2312" w:cs="仿宋"/>
          <w:color w:val="auto"/>
          <w:sz w:val="32"/>
          <w:szCs w:val="32"/>
        </w:rPr>
        <w:t>具有竞争关系的经营者达成并实施</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固定商品价格的垄断协议，排除、限制</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市场竞争，损害</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消费者利益和社会公共利益。</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2018年11月10日，河南省信用建设促进会组织</w:t>
      </w:r>
      <w:r>
        <w:rPr>
          <w:rFonts w:hint="eastAsia" w:ascii="仿宋_GB2312" w:hAnsi="仿宋" w:eastAsia="仿宋_GB2312" w:cs="仿宋"/>
          <w:color w:val="auto"/>
          <w:sz w:val="32"/>
          <w:szCs w:val="32"/>
          <w:lang w:eastAsia="zh-CN"/>
        </w:rPr>
        <w:t>包含当事人在内的</w:t>
      </w:r>
      <w:r>
        <w:rPr>
          <w:rFonts w:hint="eastAsia" w:ascii="仿宋_GB2312" w:hAnsi="仿宋" w:eastAsia="仿宋_GB2312" w:cs="仿宋"/>
          <w:color w:val="auto"/>
          <w:sz w:val="32"/>
          <w:szCs w:val="32"/>
          <w:lang w:val="en-US" w:eastAsia="zh-CN"/>
        </w:rPr>
        <w:t>31家</w:t>
      </w:r>
      <w:r>
        <w:rPr>
          <w:rFonts w:hint="eastAsia" w:ascii="仿宋_GB2312" w:hAnsi="仿宋" w:eastAsia="仿宋_GB2312" w:cs="仿宋"/>
          <w:color w:val="auto"/>
          <w:sz w:val="32"/>
          <w:szCs w:val="32"/>
        </w:rPr>
        <w:t>涉案企业召开工作会议，会上讨论并通过了《河南省信用服务行业规范发展自律公约》</w:t>
      </w:r>
      <w:r>
        <w:rPr>
          <w:rFonts w:hint="eastAsia" w:ascii="仿宋_GB2312" w:hAnsi="仿宋" w:eastAsia="仿宋_GB2312" w:cs="仿宋"/>
          <w:color w:val="auto"/>
          <w:sz w:val="32"/>
          <w:szCs w:val="32"/>
          <w:lang w:eastAsia="zh-CN"/>
        </w:rPr>
        <w:t>。</w:t>
      </w:r>
      <w:r>
        <w:rPr>
          <w:rFonts w:hint="eastAsia" w:ascii="仿宋_GB2312" w:hAnsi="Times New Roman" w:eastAsia="仿宋_GB2312"/>
          <w:color w:val="auto"/>
          <w:sz w:val="32"/>
          <w:szCs w:val="32"/>
        </w:rPr>
        <w:t>该公约第1条第（1）款约定信用报告服务费标准为：</w:t>
      </w:r>
      <w:r>
        <w:rPr>
          <w:rFonts w:hint="eastAsia" w:ascii="仿宋_GB2312" w:hAnsi="仿宋" w:eastAsia="仿宋_GB2312" w:cs="仿宋"/>
          <w:color w:val="auto"/>
          <w:sz w:val="32"/>
          <w:szCs w:val="32"/>
          <w:lang w:val="en-US" w:eastAsia="zh-CN"/>
        </w:rPr>
        <w:t>对资产总额2000万元以下（含2000万）的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进行信用评估时，按照0.6万元的标准进行收费；对资产总额2000万元～10000万元（含10000万）的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进行信用评估时，按照0.6-0.8万元的标准进行收费；对资产总额10000万元以上的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进行信用评估时，按照1万元以上的标准进行收费。</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该公约</w:t>
      </w:r>
      <w:r>
        <w:rPr>
          <w:rFonts w:hint="eastAsia" w:ascii="仿宋_GB2312" w:hAnsi="Times New Roman" w:eastAsia="仿宋_GB2312"/>
          <w:color w:val="auto"/>
          <w:sz w:val="32"/>
          <w:szCs w:val="32"/>
        </w:rPr>
        <w:t>固定了</w:t>
      </w:r>
      <w:r>
        <w:rPr>
          <w:rFonts w:hint="eastAsia" w:ascii="仿宋_GB2312" w:hAnsi="Times New Roman" w:eastAsia="仿宋_GB2312"/>
          <w:color w:val="auto"/>
          <w:sz w:val="32"/>
          <w:szCs w:val="32"/>
          <w:lang w:eastAsia="zh-CN"/>
        </w:rPr>
        <w:t>具有竞争关系的经营者之间</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，属于违反《反垄断法》第十三条第一款“（一）固定或者变更商品价格”的垄断协议。</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2019年6月15日，河南省信用建设促进会组织</w:t>
      </w:r>
      <w:r>
        <w:rPr>
          <w:rFonts w:hint="eastAsia" w:ascii="仿宋_GB2312" w:hAnsi="仿宋" w:eastAsia="仿宋_GB2312" w:cs="仿宋"/>
          <w:color w:val="auto"/>
          <w:sz w:val="32"/>
          <w:szCs w:val="32"/>
          <w:lang w:eastAsia="zh-CN"/>
        </w:rPr>
        <w:t>包含当事人在内的</w:t>
      </w:r>
      <w:r>
        <w:rPr>
          <w:rFonts w:hint="eastAsia" w:ascii="仿宋_GB2312" w:hAnsi="仿宋" w:eastAsia="仿宋_GB2312" w:cs="仿宋"/>
          <w:color w:val="auto"/>
          <w:sz w:val="32"/>
          <w:szCs w:val="32"/>
          <w:lang w:val="en-US" w:eastAsia="zh-CN"/>
        </w:rPr>
        <w:t>43家</w:t>
      </w:r>
      <w:r>
        <w:rPr>
          <w:rFonts w:hint="eastAsia" w:ascii="仿宋_GB2312" w:hAnsi="仿宋" w:eastAsia="仿宋_GB2312" w:cs="仿宋"/>
          <w:color w:val="auto"/>
          <w:sz w:val="32"/>
          <w:szCs w:val="32"/>
        </w:rPr>
        <w:t>涉案企业召开第三届三次理事会，会上讨论并通过了《河南省社会信用服务机构行业自律公约》，</w:t>
      </w:r>
      <w:r>
        <w:rPr>
          <w:rFonts w:hint="eastAsia" w:ascii="仿宋_GB2312" w:hAnsi="Times New Roman" w:eastAsia="仿宋_GB2312"/>
          <w:color w:val="auto"/>
          <w:sz w:val="32"/>
          <w:szCs w:val="32"/>
        </w:rPr>
        <w:t>该公约约定信用报告服务费标准为：</w:t>
      </w:r>
      <w:r>
        <w:rPr>
          <w:rFonts w:hint="eastAsia" w:ascii="仿宋_GB2312" w:hAnsi="仿宋" w:eastAsia="仿宋_GB2312" w:cs="仿宋"/>
          <w:color w:val="auto"/>
          <w:sz w:val="32"/>
          <w:szCs w:val="32"/>
          <w:lang w:val="en-US" w:eastAsia="zh-CN"/>
        </w:rPr>
        <w:t>对资产总额2000万元以下（含2000万）的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进行信用评估时，按照不低于0.4万元的标准进行收费；对资产总额2001万元～10000万元（含10000万）的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进行信用评估时，按照不低于0.6万元的标准进行收费；对资产总额10000万元以上的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进行信用评估时，按照不低于0.8万元，但最高不得超过1.5万元的标准进行收费。</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该公约</w:t>
      </w:r>
      <w:r>
        <w:rPr>
          <w:rFonts w:hint="eastAsia" w:ascii="仿宋_GB2312" w:hAnsi="Times New Roman" w:eastAsia="仿宋_GB2312"/>
          <w:color w:val="auto"/>
          <w:sz w:val="32"/>
          <w:szCs w:val="32"/>
        </w:rPr>
        <w:t>固定了</w:t>
      </w:r>
      <w:r>
        <w:rPr>
          <w:rFonts w:hint="eastAsia" w:ascii="仿宋_GB2312" w:hAnsi="Times New Roman" w:eastAsia="仿宋_GB2312"/>
          <w:color w:val="auto"/>
          <w:sz w:val="32"/>
          <w:szCs w:val="32"/>
          <w:lang w:eastAsia="zh-CN"/>
        </w:rPr>
        <w:t>具有竞争关系的经营者之间</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，属于违反《反垄断法》第十三条第一款“（一）固定或者变更商品价格”的垄断协议。</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w:t>
      </w:r>
      <w:r>
        <w:rPr>
          <w:rFonts w:hint="eastAsia" w:ascii="仿宋_GB2312" w:hAnsi="仿宋" w:eastAsia="仿宋_GB2312" w:cs="仿宋"/>
          <w:color w:val="auto"/>
          <w:sz w:val="32"/>
          <w:szCs w:val="32"/>
          <w:lang w:eastAsia="zh-CN"/>
        </w:rPr>
        <w:t>调查核实和</w:t>
      </w:r>
      <w:bookmarkStart w:id="0" w:name="_GoBack"/>
      <w:bookmarkEnd w:id="0"/>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会计师事务所审计，发现当事人</w:t>
      </w:r>
      <w:r>
        <w:rPr>
          <w:rFonts w:hint="eastAsia" w:ascii="仿宋_GB2312" w:hAnsi="仿宋" w:eastAsia="仿宋_GB2312" w:cs="仿宋"/>
          <w:color w:val="auto"/>
          <w:sz w:val="32"/>
          <w:szCs w:val="32"/>
          <w:lang w:eastAsia="zh-CN"/>
        </w:rPr>
        <w:t>存在</w:t>
      </w:r>
      <w:r>
        <w:rPr>
          <w:rFonts w:hint="eastAsia" w:ascii="仿宋_GB2312" w:hAnsi="仿宋" w:eastAsia="仿宋_GB2312" w:cs="仿宋"/>
          <w:color w:val="auto"/>
          <w:sz w:val="32"/>
          <w:szCs w:val="32"/>
        </w:rPr>
        <w:t>按照</w:t>
      </w:r>
      <w:r>
        <w:rPr>
          <w:rFonts w:hint="eastAsia" w:ascii="仿宋_GB2312" w:hAnsi="仿宋" w:eastAsia="仿宋_GB2312" w:cs="仿宋"/>
          <w:color w:val="auto"/>
          <w:sz w:val="32"/>
          <w:szCs w:val="32"/>
          <w:lang w:eastAsia="zh-CN"/>
        </w:rPr>
        <w:t>上述垄断协议</w:t>
      </w:r>
      <w:r>
        <w:rPr>
          <w:rFonts w:hint="eastAsia" w:ascii="仿宋_GB2312" w:hAnsi="仿宋" w:eastAsia="仿宋_GB2312" w:cs="仿宋"/>
          <w:color w:val="auto"/>
          <w:sz w:val="32"/>
          <w:szCs w:val="32"/>
        </w:rPr>
        <w:t>约定的收费标准进行收费</w:t>
      </w:r>
      <w:r>
        <w:rPr>
          <w:rFonts w:hint="eastAsia" w:ascii="仿宋_GB2312" w:hAnsi="仿宋" w:eastAsia="仿宋_GB2312" w:cs="仿宋"/>
          <w:color w:val="auto"/>
          <w:sz w:val="32"/>
          <w:szCs w:val="32"/>
          <w:lang w:eastAsia="zh-CN"/>
        </w:rPr>
        <w:t>的行为，实施了上述垄断协议</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此外，经</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会计师事务所审计，当事人2019年</w:t>
      </w:r>
      <w:r>
        <w:rPr>
          <w:rFonts w:hint="eastAsia" w:ascii="仿宋_GB2312" w:hAnsi="仿宋" w:eastAsia="仿宋_GB2312" w:cs="仿宋"/>
          <w:color w:val="auto"/>
          <w:sz w:val="32"/>
          <w:szCs w:val="32"/>
          <w:lang w:eastAsia="zh-CN"/>
        </w:rPr>
        <w:t>销售</w:t>
      </w:r>
      <w:r>
        <w:rPr>
          <w:rFonts w:hint="eastAsia" w:ascii="仿宋_GB2312" w:hAnsi="仿宋" w:eastAsia="仿宋_GB2312" w:cs="仿宋"/>
          <w:color w:val="auto"/>
          <w:sz w:val="32"/>
          <w:szCs w:val="32"/>
        </w:rPr>
        <w:t>总额为486,037.08</w:t>
      </w:r>
      <w:r>
        <w:rPr>
          <w:rFonts w:hint="eastAsia" w:ascii="CESI仿宋-GB2312" w:hAnsi="CESI仿宋-GB2312" w:eastAsia="CESI仿宋-GB2312" w:cs="CESI仿宋-GB2312"/>
          <w:b w:val="0"/>
          <w:bCs w:val="0"/>
          <w:color w:val="auto"/>
          <w:sz w:val="32"/>
          <w:szCs w:val="32"/>
          <w:lang w:val="en-US" w:eastAsia="zh-CN"/>
        </w:rPr>
        <w:t>元</w:t>
      </w:r>
      <w:r>
        <w:rPr>
          <w:rFonts w:hint="eastAsia" w:ascii="仿宋_GB2312" w:hAnsi="仿宋" w:eastAsia="仿宋_GB2312" w:cs="仿宋"/>
          <w:color w:val="auto"/>
          <w:sz w:val="32"/>
          <w:szCs w:val="32"/>
        </w:rPr>
        <w:t>。</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上述</w:t>
      </w:r>
      <w:r>
        <w:rPr>
          <w:rFonts w:hint="eastAsia" w:ascii="仿宋_GB2312" w:hAnsi="仿宋" w:eastAsia="仿宋_GB2312" w:cs="仿宋"/>
          <w:color w:val="auto"/>
          <w:sz w:val="32"/>
          <w:szCs w:val="32"/>
        </w:rPr>
        <w:t>事实，主要有以下证据证明：</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证据一：</w:t>
      </w:r>
      <w:r>
        <w:rPr>
          <w:rFonts w:hint="eastAsia" w:ascii="仿宋_GB2312" w:hAnsi="仿宋_GB2312" w:eastAsia="仿宋_GB2312" w:cs="仿宋_GB2312"/>
          <w:color w:val="auto"/>
          <w:sz w:val="32"/>
          <w:szCs w:val="32"/>
          <w:lang w:eastAsia="zh-CN"/>
        </w:rPr>
        <w:t>当事人</w:t>
      </w:r>
      <w:r>
        <w:rPr>
          <w:rFonts w:hint="eastAsia" w:ascii="仿宋_GB2312" w:hAnsi="仿宋_GB2312" w:eastAsia="仿宋_GB2312" w:cs="仿宋_GB2312"/>
          <w:color w:val="auto"/>
          <w:sz w:val="32"/>
          <w:szCs w:val="32"/>
        </w:rPr>
        <w:t>营业执照复印件、法人身份证复印件、河南省信用建设促进会会员单位名单等，证明当事人的主体资格。</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证据二：</w:t>
      </w:r>
      <w:r>
        <w:rPr>
          <w:rFonts w:hint="eastAsia" w:ascii="仿宋_GB2312" w:hAnsi="仿宋_GB2312" w:eastAsia="仿宋_GB2312" w:cs="仿宋_GB2312"/>
          <w:color w:val="auto"/>
          <w:sz w:val="32"/>
          <w:szCs w:val="32"/>
        </w:rPr>
        <w:t>2018年《河南省信用服务行业规范发展自律公约（行业自律标准文件）》复印件、2019年《河南省信用服务机构信用评估报告收费自律公约》复印件、询问笔录、情况说明等，证明当事人</w:t>
      </w:r>
      <w:r>
        <w:rPr>
          <w:rFonts w:hint="eastAsia" w:ascii="仿宋_GB2312" w:hAnsi="仿宋_GB2312" w:eastAsia="仿宋_GB2312" w:cs="仿宋_GB2312"/>
          <w:color w:val="auto"/>
          <w:sz w:val="32"/>
          <w:szCs w:val="32"/>
          <w:lang w:eastAsia="zh-CN"/>
        </w:rPr>
        <w:t>与具有竞争关系的经营者达成</w:t>
      </w:r>
      <w:r>
        <w:rPr>
          <w:rFonts w:hint="eastAsia" w:ascii="仿宋_GB2312" w:hAnsi="仿宋_GB2312" w:eastAsia="仿宋_GB2312" w:cs="仿宋_GB2312"/>
          <w:color w:val="auto"/>
          <w:sz w:val="32"/>
          <w:szCs w:val="32"/>
        </w:rPr>
        <w:t>了垄断协议。</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证据三：</w:t>
      </w:r>
      <w:r>
        <w:rPr>
          <w:rFonts w:hint="eastAsia" w:ascii="仿宋_GB2312" w:hAnsi="仿宋_GB2312" w:eastAsia="仿宋_GB2312" w:cs="仿宋_GB2312"/>
          <w:color w:val="auto"/>
          <w:sz w:val="32"/>
          <w:szCs w:val="32"/>
        </w:rPr>
        <w:t>当事人2018年-2019年期间业务台账、财务凭证复印件、向客户出具的《信用等级证书》复印件、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会计师事务所出具的《专项审核报告》、询问笔录等，证明当事人实施了</w:t>
      </w:r>
      <w:r>
        <w:rPr>
          <w:rFonts w:hint="eastAsia" w:ascii="仿宋_GB2312" w:hAnsi="仿宋_GB2312" w:eastAsia="仿宋_GB2312" w:cs="仿宋_GB2312"/>
          <w:color w:val="auto"/>
          <w:sz w:val="32"/>
          <w:szCs w:val="32"/>
          <w:lang w:eastAsia="zh-CN"/>
        </w:rPr>
        <w:t>上述</w:t>
      </w:r>
      <w:r>
        <w:rPr>
          <w:rFonts w:hint="eastAsia" w:ascii="仿宋_GB2312" w:hAnsi="仿宋_GB2312" w:eastAsia="仿宋_GB2312" w:cs="仿宋_GB2312"/>
          <w:color w:val="auto"/>
          <w:sz w:val="32"/>
          <w:szCs w:val="32"/>
        </w:rPr>
        <w:t>垄断协议。</w:t>
      </w:r>
    </w:p>
    <w:p>
      <w:pPr>
        <w:spacing w:line="560" w:lineRule="exact"/>
        <w:ind w:firstLine="642" w:firstLineChars="200"/>
        <w:rPr>
          <w:rFonts w:ascii="仿宋_GB2312" w:hAnsi="仿宋" w:eastAsia="仿宋_GB2312" w:cs="仿宋"/>
          <w:color w:val="auto"/>
          <w:sz w:val="32"/>
          <w:szCs w:val="32"/>
        </w:rPr>
      </w:pPr>
      <w:r>
        <w:rPr>
          <w:rFonts w:hint="eastAsia" w:ascii="仿宋_GB2312" w:hAnsi="仿宋_GB2312" w:eastAsia="仿宋_GB2312" w:cs="仿宋_GB2312"/>
          <w:b/>
          <w:bCs/>
          <w:color w:val="auto"/>
          <w:sz w:val="32"/>
          <w:szCs w:val="32"/>
        </w:rPr>
        <w:t>证据</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当事人2019年资产负债表、利润表、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会计师事务所出具的《专项审核报告》等，证明当事人2019年的</w:t>
      </w:r>
      <w:r>
        <w:rPr>
          <w:rFonts w:hint="eastAsia" w:ascii="仿宋_GB2312" w:hAnsi="仿宋_GB2312" w:eastAsia="仿宋_GB2312" w:cs="仿宋_GB2312"/>
          <w:color w:val="auto"/>
          <w:sz w:val="32"/>
          <w:szCs w:val="32"/>
          <w:lang w:eastAsia="zh-CN"/>
        </w:rPr>
        <w:t>销售</w:t>
      </w:r>
      <w:r>
        <w:rPr>
          <w:rFonts w:hint="eastAsia" w:ascii="仿宋_GB2312" w:hAnsi="仿宋_GB2312" w:eastAsia="仿宋_GB2312" w:cs="仿宋_GB2312"/>
          <w:color w:val="auto"/>
          <w:sz w:val="32"/>
          <w:szCs w:val="32"/>
        </w:rPr>
        <w:t>总额。</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以上有关证据，已由当事人或者相关责任人签字或盖章确认并查证属实。</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行政处罚依据和决定</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Times New Roman" w:eastAsia="仿宋_GB2312"/>
          <w:color w:val="auto"/>
          <w:sz w:val="32"/>
          <w:szCs w:val="32"/>
        </w:rPr>
      </w:pPr>
      <w:r>
        <w:rPr>
          <w:rFonts w:hint="eastAsia" w:ascii="仿宋_GB2312" w:hAnsi="仿宋_GB2312" w:eastAsia="仿宋_GB2312" w:cs="仿宋_GB2312"/>
          <w:color w:val="auto"/>
          <w:sz w:val="32"/>
          <w:szCs w:val="32"/>
          <w:lang w:eastAsia="zh-CN"/>
        </w:rPr>
        <w:t>本机关认为，</w:t>
      </w:r>
      <w:r>
        <w:rPr>
          <w:rFonts w:hint="eastAsia" w:ascii="仿宋_GB2312" w:hAnsi="仿宋" w:eastAsia="仿宋_GB2312" w:cs="仿宋"/>
          <w:color w:val="auto"/>
          <w:sz w:val="32"/>
          <w:szCs w:val="32"/>
        </w:rPr>
        <w:t>当事人</w:t>
      </w:r>
      <w:r>
        <w:rPr>
          <w:rFonts w:hint="eastAsia" w:ascii="仿宋_GB2312" w:hAnsi="仿宋" w:eastAsia="仿宋_GB2312" w:cs="仿宋"/>
          <w:color w:val="auto"/>
          <w:sz w:val="32"/>
          <w:szCs w:val="32"/>
          <w:lang w:eastAsia="zh-CN"/>
        </w:rPr>
        <w:t>通过与具有竞争关系的经营者共同参加会议并签订自律公约的方式，</w:t>
      </w:r>
      <w:r>
        <w:rPr>
          <w:rFonts w:hint="eastAsia" w:ascii="仿宋_GB2312" w:hAnsi="Times New Roman" w:eastAsia="仿宋_GB2312"/>
          <w:color w:val="auto"/>
          <w:sz w:val="32"/>
          <w:szCs w:val="32"/>
        </w:rPr>
        <w:t>固定</w:t>
      </w:r>
      <w:r>
        <w:rPr>
          <w:rFonts w:hint="eastAsia" w:ascii="仿宋_GB2312" w:hAnsi="Times New Roman" w:eastAsia="仿宋_GB2312"/>
          <w:color w:val="auto"/>
          <w:sz w:val="32"/>
          <w:szCs w:val="32"/>
          <w:lang w:eastAsia="zh-CN"/>
        </w:rPr>
        <w:t>了</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w:t>
      </w:r>
      <w:r>
        <w:rPr>
          <w:rFonts w:hint="eastAsia" w:ascii="仿宋_GB2312" w:hAnsi="仿宋" w:eastAsia="仿宋_GB2312" w:cs="仿宋"/>
          <w:color w:val="auto"/>
          <w:sz w:val="32"/>
          <w:szCs w:val="32"/>
          <w:lang w:eastAsia="zh-CN"/>
        </w:rPr>
        <w:t>达成了含有排除、限制竞争内容的垄断协议，并在之后的经营活动中实施了上述垄断协议，</w:t>
      </w:r>
      <w:r>
        <w:rPr>
          <w:rFonts w:hint="eastAsia" w:ascii="仿宋_GB2312" w:hAnsi="Times New Roman" w:eastAsia="仿宋_GB2312"/>
          <w:color w:val="auto"/>
          <w:sz w:val="32"/>
          <w:szCs w:val="32"/>
        </w:rPr>
        <w:t>违反</w:t>
      </w:r>
      <w:r>
        <w:rPr>
          <w:rFonts w:hint="eastAsia" w:ascii="仿宋_GB2312" w:hAnsi="Times New Roman" w:eastAsia="仿宋_GB2312"/>
          <w:color w:val="auto"/>
          <w:sz w:val="32"/>
          <w:szCs w:val="32"/>
          <w:lang w:eastAsia="zh-CN"/>
        </w:rPr>
        <w:t>了</w:t>
      </w:r>
      <w:r>
        <w:rPr>
          <w:rFonts w:hint="eastAsia" w:ascii="仿宋_GB2312" w:hAnsi="Times New Roman" w:eastAsia="仿宋_GB2312"/>
          <w:color w:val="auto"/>
          <w:sz w:val="32"/>
          <w:szCs w:val="32"/>
        </w:rPr>
        <w:t>《反垄断法》第</w:t>
      </w:r>
      <w:r>
        <w:rPr>
          <w:rFonts w:hint="eastAsia" w:ascii="仿宋_GB2312" w:hAnsi="Times New Roman" w:eastAsia="仿宋_GB2312"/>
          <w:color w:val="auto"/>
          <w:sz w:val="32"/>
          <w:szCs w:val="32"/>
          <w:lang w:eastAsia="zh-CN"/>
        </w:rPr>
        <w:t>十三</w:t>
      </w:r>
      <w:r>
        <w:rPr>
          <w:rFonts w:hint="eastAsia" w:ascii="仿宋_GB2312" w:hAnsi="Times New Roman" w:eastAsia="仿宋_GB2312"/>
          <w:color w:val="auto"/>
          <w:sz w:val="32"/>
          <w:szCs w:val="32"/>
        </w:rPr>
        <w:t>条</w:t>
      </w:r>
      <w:r>
        <w:rPr>
          <w:rFonts w:hint="eastAsia" w:ascii="仿宋_GB2312" w:hAnsi="Times New Roman" w:eastAsia="仿宋_GB2312"/>
          <w:color w:val="auto"/>
          <w:sz w:val="32"/>
          <w:szCs w:val="32"/>
          <w:lang w:eastAsia="zh-CN"/>
        </w:rPr>
        <w:t>第一款“禁止具有竞争关系的经营者达成下列垄断协议：（一）固定或者变更商品价格”</w:t>
      </w:r>
      <w:r>
        <w:rPr>
          <w:rFonts w:hint="eastAsia" w:ascii="仿宋_GB2312" w:hAnsi="Times New Roman" w:eastAsia="仿宋_GB2312"/>
          <w:color w:val="auto"/>
          <w:sz w:val="32"/>
          <w:szCs w:val="32"/>
        </w:rPr>
        <w:t>的</w:t>
      </w:r>
      <w:r>
        <w:rPr>
          <w:rFonts w:hint="eastAsia" w:ascii="仿宋_GB2312" w:hAnsi="Times New Roman" w:eastAsia="仿宋_GB2312"/>
          <w:color w:val="auto"/>
          <w:sz w:val="32"/>
          <w:szCs w:val="32"/>
          <w:lang w:eastAsia="zh-CN"/>
        </w:rPr>
        <w:t>规定，构成“达成并实施垄断协议”的违法行为</w:t>
      </w:r>
      <w:r>
        <w:rPr>
          <w:rFonts w:hint="eastAsia" w:ascii="仿宋_GB2312" w:hAnsi="Times New Roman" w:eastAsia="仿宋_GB2312"/>
          <w:color w:val="auto"/>
          <w:sz w:val="32"/>
          <w:szCs w:val="32"/>
        </w:rPr>
        <w:t>。</w:t>
      </w:r>
    </w:p>
    <w:p>
      <w:pPr>
        <w:keepNext w:val="0"/>
        <w:keepLines w:val="0"/>
        <w:pageBreakBefore w:val="0"/>
        <w:widowControl w:val="0"/>
        <w:kinsoku/>
        <w:topLinePunct w:val="0"/>
        <w:autoSpaceDE/>
        <w:autoSpaceDN/>
        <w:bidi w:val="0"/>
        <w:spacing w:line="590" w:lineRule="exact"/>
        <w:ind w:firstLine="642"/>
        <w:textAlignment w:val="auto"/>
        <w:rPr>
          <w:rFonts w:ascii="仿宋_GB2312" w:hAnsi="仿宋" w:eastAsia="仿宋_GB2312" w:cs="仿宋"/>
          <w:color w:val="auto"/>
          <w:sz w:val="32"/>
          <w:szCs w:val="32"/>
        </w:rPr>
      </w:pPr>
      <w:r>
        <w:rPr>
          <w:rFonts w:hint="eastAsia" w:ascii="仿宋_GB2312" w:hAnsi="Times New Roman" w:eastAsia="仿宋_GB2312"/>
          <w:color w:val="auto"/>
          <w:sz w:val="32"/>
          <w:szCs w:val="32"/>
          <w:lang w:eastAsia="zh-CN"/>
        </w:rPr>
        <w:t>鉴于</w:t>
      </w:r>
      <w:r>
        <w:rPr>
          <w:rFonts w:hint="eastAsia" w:ascii="仿宋_GB2312" w:hAnsi="仿宋" w:eastAsia="仿宋_GB2312" w:cs="仿宋"/>
          <w:color w:val="auto"/>
          <w:sz w:val="32"/>
          <w:szCs w:val="32"/>
        </w:rPr>
        <w:t>当事人</w:t>
      </w:r>
      <w:r>
        <w:rPr>
          <w:rFonts w:hint="eastAsia" w:ascii="CESI仿宋-GB2312" w:hAnsi="CESI仿宋-GB2312" w:eastAsia="CESI仿宋-GB2312" w:cs="CESI仿宋-GB2312"/>
          <w:color w:val="auto"/>
          <w:sz w:val="32"/>
          <w:szCs w:val="32"/>
          <w:lang w:eastAsia="zh-CN"/>
        </w:rPr>
        <w:t>签订垄断协议的行为受到河南省信用建设促进会部分影响，</w:t>
      </w:r>
      <w:r>
        <w:rPr>
          <w:rFonts w:ascii="Times New Roman" w:hAnsi="Times New Roman" w:eastAsia="仿宋_GB2312"/>
          <w:color w:val="auto"/>
          <w:sz w:val="32"/>
          <w:szCs w:val="32"/>
        </w:rPr>
        <w:t>在立案调查前</w:t>
      </w:r>
      <w:r>
        <w:rPr>
          <w:rFonts w:hint="eastAsia" w:ascii="Times New Roman" w:hAnsi="Times New Roman" w:eastAsia="仿宋_GB2312"/>
          <w:color w:val="auto"/>
          <w:sz w:val="32"/>
          <w:szCs w:val="32"/>
          <w:lang w:eastAsia="zh-CN"/>
        </w:rPr>
        <w:t>已停止违法行为并积极整改</w:t>
      </w:r>
      <w:r>
        <w:rPr>
          <w:rFonts w:ascii="Times New Roman" w:hAnsi="Times New Roman" w:eastAsia="仿宋_GB2312"/>
          <w:color w:val="auto"/>
          <w:sz w:val="32"/>
          <w:szCs w:val="32"/>
        </w:rPr>
        <w:t>，</w:t>
      </w:r>
      <w:r>
        <w:rPr>
          <w:rFonts w:hint="eastAsia" w:ascii="仿宋_GB2312" w:hAnsi="仿宋" w:eastAsia="仿宋_GB2312" w:cs="仿宋"/>
          <w:color w:val="auto"/>
          <w:sz w:val="32"/>
          <w:szCs w:val="32"/>
          <w:lang w:val="en-US" w:eastAsia="zh-CN"/>
        </w:rPr>
        <w:t>违法行为持续时间较短，</w:t>
      </w:r>
      <w:r>
        <w:rPr>
          <w:rFonts w:ascii="Times New Roman" w:hAnsi="Times New Roman" w:eastAsia="仿宋_GB2312"/>
          <w:color w:val="auto"/>
          <w:sz w:val="32"/>
          <w:szCs w:val="32"/>
        </w:rPr>
        <w:t>社会危害</w:t>
      </w:r>
      <w:r>
        <w:rPr>
          <w:rFonts w:hint="eastAsia" w:ascii="Times New Roman" w:hAnsi="Times New Roman" w:eastAsia="仿宋_GB2312"/>
          <w:color w:val="auto"/>
          <w:sz w:val="32"/>
          <w:szCs w:val="32"/>
          <w:lang w:eastAsia="zh-CN"/>
        </w:rPr>
        <w:t>较小</w:t>
      </w:r>
      <w:r>
        <w:rPr>
          <w:rFonts w:hint="eastAsia" w:ascii="仿宋_GB2312" w:hAnsi="仿宋" w:eastAsia="仿宋_GB2312" w:cs="仿宋"/>
          <w:color w:val="auto"/>
          <w:sz w:val="32"/>
          <w:szCs w:val="32"/>
        </w:rPr>
        <w:t>。</w:t>
      </w:r>
      <w:r>
        <w:rPr>
          <w:rFonts w:hint="eastAsia" w:ascii="仿宋_GB2312" w:hAnsi="Times New Roman" w:eastAsia="仿宋_GB2312"/>
          <w:color w:val="auto"/>
          <w:sz w:val="32"/>
          <w:szCs w:val="32"/>
        </w:rPr>
        <w:t>在启动反垄断调查后，当事人积极配合，</w:t>
      </w:r>
      <w:r>
        <w:rPr>
          <w:rFonts w:hint="eastAsia" w:ascii="仿宋_GB2312" w:hAnsi="Times New Roman" w:eastAsia="仿宋_GB2312"/>
          <w:color w:val="auto"/>
          <w:sz w:val="32"/>
          <w:szCs w:val="32"/>
          <w:lang w:eastAsia="zh-CN"/>
        </w:rPr>
        <w:t>如实陈述违法事实并主动提供证据材料</w:t>
      </w:r>
      <w:r>
        <w:rPr>
          <w:rFonts w:hint="eastAsia" w:ascii="仿宋_GB2312" w:hAnsi="Times New Roman" w:eastAsia="仿宋_GB2312"/>
          <w:color w:val="auto"/>
          <w:sz w:val="32"/>
          <w:szCs w:val="32"/>
        </w:rPr>
        <w:t>。</w:t>
      </w:r>
      <w:r>
        <w:rPr>
          <w:rFonts w:hint="eastAsia" w:ascii="Times New Roman" w:hAnsi="Times New Roman" w:eastAsia="仿宋_GB2312"/>
          <w:color w:val="auto"/>
          <w:sz w:val="32"/>
          <w:szCs w:val="32"/>
          <w:lang w:eastAsia="zh-CN"/>
        </w:rPr>
        <w:t>综合上述因素和落实“六稳”“六保”政策，维护行业的稳定和健康发展，</w:t>
      </w:r>
      <w:r>
        <w:rPr>
          <w:rFonts w:hint="eastAsia" w:ascii="仿宋_GB2312" w:hAnsi="Times New Roman" w:eastAsia="仿宋_GB2312"/>
          <w:color w:val="auto"/>
          <w:sz w:val="32"/>
          <w:szCs w:val="32"/>
        </w:rPr>
        <w:t>依据《反垄断法》第四十六条</w:t>
      </w:r>
      <w:r>
        <w:rPr>
          <w:rFonts w:hint="eastAsia" w:ascii="仿宋_GB2312" w:hAnsi="Times New Roman" w:eastAsia="仿宋_GB2312"/>
          <w:color w:val="auto"/>
          <w:sz w:val="32"/>
          <w:szCs w:val="32"/>
          <w:lang w:eastAsia="zh-CN"/>
        </w:rPr>
        <w:t>第一款、第四十九条以及</w:t>
      </w:r>
      <w:r>
        <w:rPr>
          <w:rFonts w:hint="eastAsia" w:ascii="仿宋_GB2312" w:hAnsi="Times New Roman" w:eastAsia="仿宋_GB2312"/>
          <w:color w:val="auto"/>
          <w:sz w:val="32"/>
          <w:szCs w:val="32"/>
        </w:rPr>
        <w:t>《</w:t>
      </w:r>
      <w:r>
        <w:rPr>
          <w:rFonts w:hint="eastAsia" w:ascii="仿宋_GB2312" w:hAnsi="Times New Roman" w:eastAsia="仿宋_GB2312"/>
          <w:color w:val="auto"/>
          <w:sz w:val="32"/>
          <w:szCs w:val="32"/>
          <w:lang w:eastAsia="zh-CN"/>
        </w:rPr>
        <w:t>中华人民共和国</w:t>
      </w:r>
      <w:r>
        <w:rPr>
          <w:rFonts w:hint="eastAsia" w:ascii="仿宋_GB2312" w:hAnsi="Times New Roman" w:eastAsia="仿宋_GB2312"/>
          <w:color w:val="auto"/>
          <w:sz w:val="32"/>
          <w:szCs w:val="32"/>
        </w:rPr>
        <w:t>行政处罚法》第三十二条</w:t>
      </w:r>
      <w:r>
        <w:rPr>
          <w:rFonts w:hint="eastAsia" w:ascii="仿宋_GB2312" w:hAnsi="Times New Roman" w:eastAsia="仿宋_GB2312"/>
          <w:color w:val="auto"/>
          <w:sz w:val="32"/>
          <w:szCs w:val="32"/>
          <w:lang w:eastAsia="zh-CN"/>
        </w:rPr>
        <w:t>有关</w:t>
      </w:r>
      <w:r>
        <w:rPr>
          <w:rFonts w:hint="eastAsia" w:ascii="仿宋_GB2312" w:hAnsi="Times New Roman" w:eastAsia="仿宋_GB2312"/>
          <w:color w:val="auto"/>
          <w:sz w:val="32"/>
          <w:szCs w:val="32"/>
        </w:rPr>
        <w:t>规定，</w:t>
      </w:r>
      <w:r>
        <w:rPr>
          <w:rFonts w:hint="eastAsia" w:ascii="仿宋_GB2312" w:hAnsi="Times New Roman" w:eastAsia="仿宋_GB2312"/>
          <w:color w:val="auto"/>
          <w:sz w:val="32"/>
          <w:szCs w:val="32"/>
          <w:lang w:eastAsia="zh-CN"/>
        </w:rPr>
        <w:t>本机关决定对当事人做出以下行政处罚</w:t>
      </w:r>
      <w:r>
        <w:rPr>
          <w:rFonts w:hint="eastAsia" w:ascii="仿宋_GB2312" w:hAnsi="仿宋" w:eastAsia="仿宋_GB2312" w:cs="仿宋"/>
          <w:color w:val="auto"/>
          <w:sz w:val="32"/>
          <w:szCs w:val="32"/>
        </w:rPr>
        <w:t>：</w:t>
      </w:r>
    </w:p>
    <w:p>
      <w:pPr>
        <w:numPr>
          <w:ilvl w:val="0"/>
          <w:numId w:val="0"/>
        </w:numPr>
        <w:spacing w:line="560" w:lineRule="exact"/>
        <w:ind w:firstLine="640" w:firstLineChars="200"/>
        <w:rPr>
          <w:rFonts w:hint="eastAsia" w:ascii="CESI仿宋-GB2312" w:hAnsi="CESI仿宋-GB2312" w:eastAsia="CESI仿宋-GB2312" w:cs="CESI仿宋-GB2312"/>
          <w:b w:val="0"/>
          <w:bCs w:val="0"/>
          <w:color w:val="auto"/>
          <w:sz w:val="32"/>
          <w:szCs w:val="32"/>
          <w:lang w:val="en-US" w:eastAsia="zh-CN"/>
        </w:rPr>
      </w:pPr>
      <w:r>
        <w:rPr>
          <w:rFonts w:hint="eastAsia" w:ascii="宋体" w:hAnsi="宋体" w:eastAsia="仿宋_GB2312" w:cs="仿宋_GB2312"/>
          <w:b w:val="0"/>
          <w:bCs w:val="0"/>
          <w:color w:val="auto"/>
          <w:sz w:val="32"/>
          <w:szCs w:val="32"/>
          <w:highlight w:val="none"/>
          <w:u w:val="none"/>
          <w:lang w:val="en-US" w:eastAsia="zh-CN"/>
        </w:rPr>
        <w:t>（一）</w:t>
      </w:r>
      <w:r>
        <w:rPr>
          <w:rFonts w:hint="eastAsia" w:ascii="仿宋_GB2312" w:hAnsi="Times New Roman" w:eastAsia="仿宋_GB2312"/>
          <w:b w:val="0"/>
          <w:bCs w:val="0"/>
          <w:color w:val="auto"/>
          <w:sz w:val="32"/>
          <w:szCs w:val="32"/>
          <w:lang w:val="en-US" w:eastAsia="zh-CN"/>
        </w:rPr>
        <w:t>责令停止违法行为；</w:t>
      </w:r>
    </w:p>
    <w:p>
      <w:pPr>
        <w:numPr>
          <w:ilvl w:val="0"/>
          <w:numId w:val="0"/>
        </w:numPr>
        <w:spacing w:line="560" w:lineRule="exact"/>
        <w:ind w:firstLine="640" w:firstLineChars="200"/>
        <w:rPr>
          <w:rFonts w:hint="eastAsia" w:ascii="仿宋_GB2312" w:hAnsi="仿宋" w:eastAsia="仿宋_GB2312" w:cs="仿宋"/>
          <w:color w:val="auto"/>
          <w:sz w:val="32"/>
          <w:szCs w:val="32"/>
        </w:rPr>
      </w:pPr>
      <w:r>
        <w:rPr>
          <w:rFonts w:hint="eastAsia" w:ascii="CESI仿宋-GB2312" w:hAnsi="CESI仿宋-GB2312" w:eastAsia="CESI仿宋-GB2312" w:cs="CESI仿宋-GB2312"/>
          <w:b w:val="0"/>
          <w:bCs w:val="0"/>
          <w:color w:val="auto"/>
          <w:sz w:val="32"/>
          <w:szCs w:val="32"/>
          <w:lang w:val="en-US" w:eastAsia="zh-CN"/>
        </w:rPr>
        <w:t>（二）处以其2019年度销售额486,037.08元1%的罚款，计4,860.37元（大写：肆仟捌佰陆拾元叁角柒分）。</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五、行政处罚的履行方式和期限</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ascii="Times New Roman" w:hAnsi="Times New Roman" w:eastAsia="仿宋_GB2312"/>
          <w:color w:val="auto"/>
          <w:sz w:val="32"/>
          <w:szCs w:val="32"/>
        </w:rPr>
        <w:t>当事人应当自收到本行政处罚决定书之日起十五日内，</w:t>
      </w:r>
      <w:r>
        <w:rPr>
          <w:rFonts w:hint="eastAsia" w:ascii="宋体" w:hAnsi="宋体" w:eastAsia="仿宋_GB2312" w:cs="仿宋_GB2312"/>
          <w:color w:val="auto"/>
          <w:sz w:val="32"/>
          <w:szCs w:val="32"/>
          <w:highlight w:val="none"/>
          <w:lang w:val="en-US" w:eastAsia="zh-CN"/>
        </w:rPr>
        <w:t>将罚款缴至下述银行。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90" w:lineRule="exact"/>
        <w:ind w:right="0"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户    名：河南省财政厅非税收入财政专户</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宋体" w:hAnsi="宋体" w:eastAsia="仿宋_GB2312" w:cs="仿宋_GB2312"/>
          <w:color w:val="auto"/>
          <w:sz w:val="32"/>
          <w:szCs w:val="32"/>
          <w:highlight w:val="none"/>
          <w:lang w:val="en-US" w:eastAsia="zh-CN"/>
        </w:rPr>
        <w:t>帐    号：</w:t>
      </w:r>
      <w:r>
        <w:rPr>
          <w:rFonts w:hint="eastAsia" w:ascii="仿宋_GB2312" w:hAnsi="仿宋" w:eastAsia="仿宋_GB2312" w:cs="仿宋"/>
          <w:color w:val="auto"/>
          <w:sz w:val="32"/>
          <w:szCs w:val="32"/>
          <w:lang w:val="en-US" w:eastAsia="zh-CN"/>
        </w:rPr>
        <w:t>419901010150009501</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仿宋_GB2312" w:hAnsi="仿宋" w:eastAsia="仿宋_GB2312" w:cs="仿宋"/>
          <w:color w:val="auto"/>
          <w:sz w:val="32"/>
          <w:szCs w:val="32"/>
          <w:lang w:val="en-US" w:eastAsia="zh-CN"/>
        </w:rPr>
        <w:t>开 户 行：中原银行郑州商务外环</w:t>
      </w:r>
      <w:r>
        <w:rPr>
          <w:rFonts w:hint="eastAsia" w:ascii="宋体" w:hAnsi="宋体" w:eastAsia="仿宋_GB2312" w:cs="仿宋_GB2312"/>
          <w:color w:val="auto"/>
          <w:sz w:val="32"/>
          <w:szCs w:val="32"/>
          <w:highlight w:val="none"/>
          <w:lang w:val="en-US" w:eastAsia="zh-CN"/>
        </w:rPr>
        <w:t>路支行</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六、救济途径和期限</w:t>
      </w:r>
    </w:p>
    <w:p>
      <w:pPr>
        <w:keepNext w:val="0"/>
        <w:keepLines w:val="0"/>
        <w:pageBreakBefore w:val="0"/>
        <w:widowControl w:val="0"/>
        <w:kinsoku/>
        <w:wordWrap/>
        <w:overflowPunct w:val="0"/>
        <w:topLinePunct w:val="0"/>
        <w:autoSpaceDE/>
        <w:autoSpaceDN/>
        <w:bidi w:val="0"/>
        <w:adjustRightInd w:val="0"/>
        <w:snapToGrid w:val="0"/>
        <w:spacing w:line="590" w:lineRule="exact"/>
        <w:ind w:right="0"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topLinePunct w:val="0"/>
        <w:autoSpaceDE/>
        <w:autoSpaceDN/>
        <w:bidi w:val="0"/>
        <w:adjustRightInd w:val="0"/>
        <w:snapToGrid w:val="0"/>
        <w:spacing w:line="590" w:lineRule="exact"/>
        <w:ind w:firstLine="624"/>
        <w:textAlignment w:val="auto"/>
        <w:rPr>
          <w:rFonts w:ascii="Times New Roman" w:hAnsi="Times New Roman" w:eastAsia="仿宋_GB2312"/>
          <w:color w:val="auto"/>
          <w:kern w:val="0"/>
          <w:sz w:val="32"/>
          <w:szCs w:val="32"/>
        </w:rPr>
      </w:pPr>
    </w:p>
    <w:p>
      <w:pPr>
        <w:keepNext w:val="0"/>
        <w:keepLines w:val="0"/>
        <w:pageBreakBefore w:val="0"/>
        <w:widowControl w:val="0"/>
        <w:kinsoku/>
        <w:topLinePunct w:val="0"/>
        <w:autoSpaceDE/>
        <w:autoSpaceDN/>
        <w:bidi w:val="0"/>
        <w:adjustRightInd w:val="0"/>
        <w:snapToGrid w:val="0"/>
        <w:spacing w:line="590" w:lineRule="exact"/>
        <w:textAlignment w:val="auto"/>
        <w:rPr>
          <w:rFonts w:hint="default" w:ascii="Times New Roman" w:hAnsi="Times New Roman" w:eastAsia="仿宋_GB2312"/>
          <w:color w:val="auto"/>
          <w:kern w:val="0"/>
          <w:sz w:val="32"/>
          <w:szCs w:val="32"/>
          <w:lang w:val="en-US" w:eastAsia="zh-CN"/>
        </w:rPr>
      </w:pPr>
    </w:p>
    <w:p>
      <w:pPr>
        <w:keepNext w:val="0"/>
        <w:keepLines w:val="0"/>
        <w:pageBreakBefore w:val="0"/>
        <w:widowControl w:val="0"/>
        <w:kinsoku/>
        <w:wordWrap w:val="0"/>
        <w:topLinePunct w:val="0"/>
        <w:autoSpaceDE/>
        <w:autoSpaceDN/>
        <w:bidi w:val="0"/>
        <w:adjustRightInd w:val="0"/>
        <w:snapToGrid w:val="0"/>
        <w:spacing w:line="590" w:lineRule="exact"/>
        <w:ind w:firstLine="624"/>
        <w:jc w:val="right"/>
        <w:textAlignment w:val="auto"/>
        <w:rPr>
          <w:rFonts w:hint="default"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eastAsia="zh-CN"/>
        </w:rPr>
        <w:t>河南省市场监督管理局</w:t>
      </w:r>
      <w:r>
        <w:rPr>
          <w:rFonts w:hint="eastAsia" w:ascii="Times New Roman" w:hAnsi="Times New Roman" w:eastAsia="仿宋_GB2312"/>
          <w:color w:val="auto"/>
          <w:kern w:val="0"/>
          <w:sz w:val="32"/>
          <w:szCs w:val="32"/>
          <w:lang w:val="en-US" w:eastAsia="zh-CN"/>
        </w:rPr>
        <w:t xml:space="preserve">    </w:t>
      </w:r>
    </w:p>
    <w:p>
      <w:pPr>
        <w:keepNext w:val="0"/>
        <w:keepLines w:val="0"/>
        <w:pageBreakBefore w:val="0"/>
        <w:widowControl w:val="0"/>
        <w:kinsoku/>
        <w:wordWrap w:val="0"/>
        <w:topLinePunct w:val="0"/>
        <w:autoSpaceDE/>
        <w:autoSpaceDN/>
        <w:bidi w:val="0"/>
        <w:adjustRightInd w:val="0"/>
        <w:snapToGrid w:val="0"/>
        <w:spacing w:line="590" w:lineRule="exact"/>
        <w:ind w:firstLine="624"/>
        <w:jc w:val="right"/>
        <w:textAlignment w:val="auto"/>
        <w:rPr>
          <w:rFonts w:hint="default" w:ascii="Times New Roman" w:hAnsi="Times New Roman" w:eastAsia="仿宋_GB2312"/>
          <w:color w:val="auto"/>
          <w:kern w:val="0"/>
          <w:sz w:val="32"/>
          <w:szCs w:val="32"/>
          <w:lang w:val="en-US" w:eastAsia="zh-CN"/>
        </w:rPr>
      </w:pPr>
      <w:r>
        <w:rPr>
          <w:rFonts w:hint="eastAsia" w:ascii="仿宋_GB2312" w:hAnsi="仿宋" w:eastAsia="仿宋_GB2312" w:cs="仿宋"/>
          <w:color w:val="auto"/>
          <w:sz w:val="32"/>
          <w:szCs w:val="32"/>
          <w:lang w:val="en-US" w:eastAsia="zh-CN"/>
        </w:rPr>
        <w:t xml:space="preserve">2022年6月24日  </w:t>
      </w:r>
      <w:r>
        <w:rPr>
          <w:rFonts w:hint="eastAsia" w:ascii="Times New Roman" w:hAnsi="Times New Roman" w:eastAsia="仿宋_GB2312"/>
          <w:color w:val="auto"/>
          <w:kern w:val="0"/>
          <w:sz w:val="32"/>
          <w:szCs w:val="32"/>
          <w:lang w:val="en-US" w:eastAsia="zh-CN"/>
        </w:rPr>
        <w:t xml:space="preserve">   </w:t>
      </w:r>
    </w:p>
    <w:p>
      <w:pPr>
        <w:keepNext w:val="0"/>
        <w:keepLines w:val="0"/>
        <w:pageBreakBefore w:val="0"/>
        <w:widowControl w:val="0"/>
        <w:kinsoku/>
        <w:topLinePunct w:val="0"/>
        <w:autoSpaceDE/>
        <w:autoSpaceDN/>
        <w:bidi w:val="0"/>
        <w:adjustRightInd w:val="0"/>
        <w:snapToGrid w:val="0"/>
        <w:spacing w:line="590" w:lineRule="exact"/>
        <w:ind w:firstLine="624"/>
        <w:textAlignment w:val="auto"/>
        <w:rPr>
          <w:rFonts w:hint="default" w:ascii="Times New Roman" w:hAnsi="Times New Roman" w:eastAsia="仿宋_GB2312"/>
          <w:color w:val="auto"/>
          <w:kern w:val="0"/>
          <w:sz w:val="32"/>
          <w:szCs w:val="32"/>
          <w:lang w:val="en-US" w:eastAsia="zh-CN"/>
        </w:rPr>
      </w:pPr>
    </w:p>
    <w:p>
      <w:pPr>
        <w:keepNext w:val="0"/>
        <w:keepLines w:val="0"/>
        <w:pageBreakBefore w:val="0"/>
        <w:widowControl w:val="0"/>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r>
        <w:rPr>
          <w:rFonts w:hint="eastAsia" w:ascii="方正黑体_GBK" w:hAnsi="方正黑体_GBK" w:eastAsia="方正黑体_GBK" w:cs="方正黑体_GBK"/>
          <w:color w:val="auto"/>
          <w:kern w:val="0"/>
          <w:sz w:val="32"/>
          <w:szCs w:val="32"/>
          <w:lang w:val="en-US" w:eastAsia="zh-CN"/>
        </w:rPr>
        <w:t>（市场监督管理部门将依法向社会公开行政处罚决定信息）</w:t>
      </w: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ind w:firstLine="624"/>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9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kinsoku/>
        <w:topLinePunct w:val="0"/>
        <w:autoSpaceDE/>
        <w:autoSpaceDN/>
        <w:bidi w:val="0"/>
        <w:adjustRightInd w:val="0"/>
        <w:snapToGrid w:val="0"/>
        <w:spacing w:line="590" w:lineRule="exact"/>
        <w:textAlignment w:val="auto"/>
        <w:rPr>
          <w:rFonts w:hint="eastAsia" w:ascii="CESI仿宋-GB2312" w:hAnsi="CESI仿宋-GB2312" w:eastAsia="CESI仿宋-GB2312" w:cs="CESI仿宋-GB2312"/>
          <w:color w:val="auto"/>
          <w:kern w:val="0"/>
          <w:sz w:val="32"/>
          <w:szCs w:val="32"/>
          <w:lang w:val="en-US" w:eastAsia="zh-CN"/>
        </w:rPr>
      </w:pPr>
      <w:r>
        <w:rPr>
          <w:rFonts w:hint="eastAsia" w:ascii="CESI仿宋-GB2312" w:hAnsi="CESI仿宋-GB2312" w:eastAsia="CESI仿宋-GB2312" w:cs="CESI仿宋-GB2312"/>
          <w:color w:val="auto"/>
          <w:kern w:val="0"/>
          <w:sz w:val="32"/>
          <w:szCs w:val="32"/>
          <w:lang w:val="en-US" w:eastAsia="zh-CN"/>
        </w:rPr>
        <w:t>本文书一式三份，一份送达当事人，两份归档。</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 xml:space="preserve">第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页 共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NUMPAGES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7</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页</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248"/>
    <w:rsid w:val="00026784"/>
    <w:rsid w:val="00032404"/>
    <w:rsid w:val="0005502D"/>
    <w:rsid w:val="00080111"/>
    <w:rsid w:val="0009763A"/>
    <w:rsid w:val="000D188C"/>
    <w:rsid w:val="000E4549"/>
    <w:rsid w:val="00150005"/>
    <w:rsid w:val="00172A27"/>
    <w:rsid w:val="00200C49"/>
    <w:rsid w:val="002047BB"/>
    <w:rsid w:val="002E0694"/>
    <w:rsid w:val="002E5218"/>
    <w:rsid w:val="0033437A"/>
    <w:rsid w:val="00347357"/>
    <w:rsid w:val="0036683B"/>
    <w:rsid w:val="0036773F"/>
    <w:rsid w:val="00372CF2"/>
    <w:rsid w:val="003806F4"/>
    <w:rsid w:val="003C568F"/>
    <w:rsid w:val="003D5E7D"/>
    <w:rsid w:val="00477C30"/>
    <w:rsid w:val="004C7B68"/>
    <w:rsid w:val="005147C3"/>
    <w:rsid w:val="00546355"/>
    <w:rsid w:val="0059307B"/>
    <w:rsid w:val="005B018A"/>
    <w:rsid w:val="005C02E7"/>
    <w:rsid w:val="00630F41"/>
    <w:rsid w:val="006337C8"/>
    <w:rsid w:val="006904D4"/>
    <w:rsid w:val="006956EC"/>
    <w:rsid w:val="006A55B1"/>
    <w:rsid w:val="006B009B"/>
    <w:rsid w:val="006B4876"/>
    <w:rsid w:val="006E2881"/>
    <w:rsid w:val="00703347"/>
    <w:rsid w:val="007211DE"/>
    <w:rsid w:val="00812078"/>
    <w:rsid w:val="008237E1"/>
    <w:rsid w:val="0087507B"/>
    <w:rsid w:val="008C4DCB"/>
    <w:rsid w:val="00945FC9"/>
    <w:rsid w:val="00951B89"/>
    <w:rsid w:val="00997573"/>
    <w:rsid w:val="00AA1A74"/>
    <w:rsid w:val="00AE38CC"/>
    <w:rsid w:val="00AE575F"/>
    <w:rsid w:val="00B74415"/>
    <w:rsid w:val="00C24BD8"/>
    <w:rsid w:val="00CA6838"/>
    <w:rsid w:val="00CC3610"/>
    <w:rsid w:val="00CE0E64"/>
    <w:rsid w:val="00CF1F54"/>
    <w:rsid w:val="00D1320C"/>
    <w:rsid w:val="00D23170"/>
    <w:rsid w:val="00D42B46"/>
    <w:rsid w:val="00DE4290"/>
    <w:rsid w:val="00DE4343"/>
    <w:rsid w:val="00E058E6"/>
    <w:rsid w:val="00E61D22"/>
    <w:rsid w:val="00E70182"/>
    <w:rsid w:val="00E714FD"/>
    <w:rsid w:val="00EC0A44"/>
    <w:rsid w:val="00F347A8"/>
    <w:rsid w:val="00F65A3F"/>
    <w:rsid w:val="11BB740B"/>
    <w:rsid w:val="17DF0CE4"/>
    <w:rsid w:val="19E7CC56"/>
    <w:rsid w:val="2FFF2A65"/>
    <w:rsid w:val="34F9AE06"/>
    <w:rsid w:val="37FEC656"/>
    <w:rsid w:val="3AFE7134"/>
    <w:rsid w:val="3D2FF238"/>
    <w:rsid w:val="3DBAC390"/>
    <w:rsid w:val="3FBF9616"/>
    <w:rsid w:val="3FDF5ED7"/>
    <w:rsid w:val="3FDFFC52"/>
    <w:rsid w:val="3FE3D008"/>
    <w:rsid w:val="47FB1E98"/>
    <w:rsid w:val="4A1E7FBB"/>
    <w:rsid w:val="4F133CAA"/>
    <w:rsid w:val="57FFEF2A"/>
    <w:rsid w:val="5D2EF7E2"/>
    <w:rsid w:val="5EDDCD44"/>
    <w:rsid w:val="5FC6A04F"/>
    <w:rsid w:val="5FDF733B"/>
    <w:rsid w:val="5FFFCEB7"/>
    <w:rsid w:val="6CED12DE"/>
    <w:rsid w:val="6D7FC72D"/>
    <w:rsid w:val="6ECF2F95"/>
    <w:rsid w:val="6EFA7B43"/>
    <w:rsid w:val="6FF428FD"/>
    <w:rsid w:val="6FFDA743"/>
    <w:rsid w:val="74FDF442"/>
    <w:rsid w:val="75CE1D57"/>
    <w:rsid w:val="77D66569"/>
    <w:rsid w:val="785C4979"/>
    <w:rsid w:val="787B5ED6"/>
    <w:rsid w:val="79BBD25A"/>
    <w:rsid w:val="7BFD7279"/>
    <w:rsid w:val="7BFFCD4F"/>
    <w:rsid w:val="7CF3D184"/>
    <w:rsid w:val="7D7B3451"/>
    <w:rsid w:val="7D9EA6C0"/>
    <w:rsid w:val="7DB31976"/>
    <w:rsid w:val="7E7AFD5E"/>
    <w:rsid w:val="7EF20EAF"/>
    <w:rsid w:val="7EFF154A"/>
    <w:rsid w:val="7F3FB06B"/>
    <w:rsid w:val="7F7A3AA5"/>
    <w:rsid w:val="7F7F2E27"/>
    <w:rsid w:val="7F7F5421"/>
    <w:rsid w:val="7FBF4C29"/>
    <w:rsid w:val="7FBFAB4F"/>
    <w:rsid w:val="7FF7E676"/>
    <w:rsid w:val="7FFF2BDF"/>
    <w:rsid w:val="9E9BE743"/>
    <w:rsid w:val="AAF27701"/>
    <w:rsid w:val="AFCF0016"/>
    <w:rsid w:val="AFDD82D8"/>
    <w:rsid w:val="B63E7582"/>
    <w:rsid w:val="B6DEF4D1"/>
    <w:rsid w:val="B6E798A7"/>
    <w:rsid w:val="B99FA0DC"/>
    <w:rsid w:val="B9BF6F7F"/>
    <w:rsid w:val="BDBF38FB"/>
    <w:rsid w:val="BFBB1CF4"/>
    <w:rsid w:val="BFFFB870"/>
    <w:rsid w:val="C7F70946"/>
    <w:rsid w:val="CB7FC04C"/>
    <w:rsid w:val="CD6F80DC"/>
    <w:rsid w:val="CFEDD1DE"/>
    <w:rsid w:val="D776A5F6"/>
    <w:rsid w:val="D7F75D87"/>
    <w:rsid w:val="DB5D02BC"/>
    <w:rsid w:val="DBFC4E10"/>
    <w:rsid w:val="DDEF818C"/>
    <w:rsid w:val="DE7F60B7"/>
    <w:rsid w:val="DF276895"/>
    <w:rsid w:val="DFB64646"/>
    <w:rsid w:val="DFEF48E5"/>
    <w:rsid w:val="E7559036"/>
    <w:rsid w:val="E7FE9B3D"/>
    <w:rsid w:val="E9FF0495"/>
    <w:rsid w:val="EECE8E69"/>
    <w:rsid w:val="EF7ED054"/>
    <w:rsid w:val="EFBF037F"/>
    <w:rsid w:val="EFD9A92B"/>
    <w:rsid w:val="EFF33050"/>
    <w:rsid w:val="F0ED8588"/>
    <w:rsid w:val="F2F6FF49"/>
    <w:rsid w:val="F3BA6D41"/>
    <w:rsid w:val="F4F97D43"/>
    <w:rsid w:val="F6FF04BE"/>
    <w:rsid w:val="F797D069"/>
    <w:rsid w:val="F7B33185"/>
    <w:rsid w:val="F7FFAD2C"/>
    <w:rsid w:val="F7FFFDB5"/>
    <w:rsid w:val="FDE5211B"/>
    <w:rsid w:val="FDEDBB5A"/>
    <w:rsid w:val="FDEDD4CD"/>
    <w:rsid w:val="FDFDED32"/>
    <w:rsid w:val="FDFDF18E"/>
    <w:rsid w:val="FEF5C2DF"/>
    <w:rsid w:val="FF2B2812"/>
    <w:rsid w:val="FF5AE4EE"/>
    <w:rsid w:val="FF77F9DE"/>
    <w:rsid w:val="FFCB0360"/>
    <w:rsid w:val="FFCFBB49"/>
    <w:rsid w:val="FFCFC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日期 Char"/>
    <w:basedOn w:val="9"/>
    <w:link w:val="3"/>
    <w:semiHidden/>
    <w:qFormat/>
    <w:uiPriority w:val="99"/>
    <w:rPr>
      <w:rFonts w:ascii="Calibri" w:hAnsi="Calibri"/>
      <w:kern w:val="2"/>
      <w:sz w:val="21"/>
      <w:szCs w:val="24"/>
    </w:rPr>
  </w:style>
  <w:style w:type="character" w:customStyle="1" w:styleId="12">
    <w:name w:val="页脚 Char"/>
    <w:basedOn w:val="9"/>
    <w:link w:val="4"/>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499</Words>
  <Characters>2847</Characters>
  <Lines>23</Lines>
  <Paragraphs>6</Paragraphs>
  <TotalTime>3</TotalTime>
  <ScaleCrop>false</ScaleCrop>
  <LinksUpToDate>false</LinksUpToDate>
  <CharactersWithSpaces>3340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2021-02-09T19:36:00Z</dcterms:created>
  <dc:creator>admin</dc:creator>
  <cp:lastModifiedBy>huanghe</cp:lastModifiedBy>
  <cp:lastPrinted>2021-02-10T17:55:00Z</cp:lastPrinted>
  <dcterms:modified xsi:type="dcterms:W3CDTF">2022-07-13T17:55:23Z</dcterms:modified>
  <dc:title>关于河南省信用建设促进会组织本行业</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