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"/>
          <w:b/>
          <w:szCs w:val="21"/>
        </w:rPr>
      </w:pPr>
      <w:r>
        <w:rPr>
          <w:rFonts w:ascii="Times New Roman" w:hAnsi="仿宋" w:eastAsia="仿宋"/>
          <w:b/>
          <w:szCs w:val="21"/>
        </w:rPr>
        <w:t>经营者集中简易案件公示表</w:t>
      </w:r>
    </w:p>
    <w:p>
      <w:pPr>
        <w:spacing w:line="440" w:lineRule="exact"/>
        <w:ind w:firstLine="634" w:firstLineChars="302"/>
        <w:rPr>
          <w:rFonts w:ascii="Times New Roman" w:hAnsi="Times New Roman" w:eastAsia="仿宋"/>
          <w:szCs w:val="21"/>
        </w:rPr>
      </w:pPr>
    </w:p>
    <w:tbl>
      <w:tblPr>
        <w:tblStyle w:val="8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47"/>
        <w:gridCol w:w="5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克莱顿·杜比利尔及莱斯第十一基金有限合伙与德太第八有限合伙收购Covetrus公司股权案（ “</w:t>
            </w:r>
            <w:r>
              <w:rPr>
                <w:rFonts w:ascii="Times New Roman" w:hAnsi="Times New Roman" w:eastAsia="仿宋"/>
                <w:b/>
                <w:kern w:val="0"/>
                <w:szCs w:val="21"/>
              </w:rPr>
              <w:t>本次交易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交易概况（限</w:t>
            </w:r>
            <w:r>
              <w:rPr>
                <w:rFonts w:ascii="Times New Roman" w:hAnsi="Times New Roman" w:eastAsia="仿宋"/>
                <w:b/>
                <w:szCs w:val="21"/>
              </w:rPr>
              <w:t>200</w:t>
            </w:r>
            <w:r>
              <w:rPr>
                <w:rFonts w:ascii="Times New Roman" w:hAnsi="仿宋" w:eastAsia="仿宋"/>
                <w:b/>
                <w:szCs w:val="21"/>
              </w:rPr>
              <w:t>字内）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克莱顿·杜比利尔及莱斯第十一基金有限合伙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（“</w:t>
            </w:r>
            <w:r>
              <w:rPr>
                <w:rFonts w:ascii="Times New Roman" w:hAnsi="Times New Roman" w:eastAsia="仿宋"/>
                <w:b/>
                <w:bCs/>
                <w:kern w:val="0"/>
                <w:szCs w:val="21"/>
              </w:rPr>
              <w:t>CD&amp;R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”）及其关联实体、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德太第八有限合伙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（“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>德太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”）及其关联实体已签署最终协议，收购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Covetrus公司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（“</w:t>
            </w:r>
            <w:r>
              <w:rPr>
                <w:rFonts w:hint="eastAsia" w:ascii="Times New Roman" w:hAnsi="Times New Roman" w:eastAsia="仿宋"/>
                <w:b/>
                <w:szCs w:val="21"/>
              </w:rPr>
              <w:t>Covetrus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”）所有尚未被C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D&amp;R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的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关联实体持有的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流通中的</w:t>
            </w:r>
            <w:r>
              <w:rPr>
                <w:rFonts w:hint="eastAsia" w:ascii="Times New Roman" w:hAnsi="Times New Roman" w:eastAsia="仿宋"/>
                <w:szCs w:val="21"/>
              </w:rPr>
              <w:t>75.85%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kern w:val="0"/>
                <w:szCs w:val="21"/>
              </w:rPr>
              <w:t>普通股。</w:t>
            </w:r>
            <w:r>
              <w:rPr>
                <w:rFonts w:hint="eastAsia" w:ascii="Times New Roman" w:hAnsi="Times New Roman" w:eastAsia="仿宋"/>
                <w:szCs w:val="21"/>
              </w:rPr>
              <w:t>Covetrus的主要业务为动物健康相关产品批发供应。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本次交易前</w:t>
            </w:r>
            <w:r>
              <w:rPr>
                <w:rFonts w:hint="eastAsia" w:ascii="Times New Roman" w:hAnsi="Times New Roman" w:eastAsia="仿宋"/>
                <w:szCs w:val="21"/>
              </w:rPr>
              <w:t>，C</w:t>
            </w:r>
            <w:r>
              <w:rPr>
                <w:rFonts w:ascii="Times New Roman" w:hAnsi="Times New Roman" w:eastAsia="仿宋"/>
                <w:szCs w:val="21"/>
              </w:rPr>
              <w:t>D&amp;R</w:t>
            </w:r>
            <w:r>
              <w:rPr>
                <w:rFonts w:hint="eastAsia" w:ascii="Times New Roman" w:hAnsi="Times New Roman" w:eastAsia="仿宋"/>
                <w:szCs w:val="21"/>
              </w:rPr>
              <w:t>的</w:t>
            </w:r>
            <w:r>
              <w:rPr>
                <w:rFonts w:ascii="Times New Roman" w:hAnsi="Times New Roman" w:eastAsia="仿宋"/>
                <w:szCs w:val="21"/>
              </w:rPr>
              <w:t>关联实体</w:t>
            </w:r>
            <w:r>
              <w:rPr>
                <w:rFonts w:hint="eastAsia" w:ascii="Times New Roman" w:hAnsi="Times New Roman" w:eastAsia="仿宋"/>
                <w:szCs w:val="21"/>
              </w:rPr>
              <w:t>持有Covetrus的约24.</w:t>
            </w:r>
            <w:r>
              <w:rPr>
                <w:rFonts w:ascii="Times New Roman" w:hAnsi="Times New Roman" w:eastAsia="仿宋"/>
                <w:szCs w:val="21"/>
              </w:rPr>
              <w:t>15</w:t>
            </w:r>
            <w:r>
              <w:rPr>
                <w:rFonts w:hint="eastAsia" w:ascii="Times New Roman" w:hAnsi="Times New Roman" w:eastAsia="仿宋"/>
                <w:szCs w:val="21"/>
              </w:rPr>
              <w:t>%的普通股。Covetrus目前作为一家上市公司，无最终控制人。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本次交易完成后，C</w:t>
            </w:r>
            <w:r>
              <w:rPr>
                <w:rFonts w:ascii="Times New Roman" w:hAnsi="Times New Roman" w:eastAsia="仿宋"/>
                <w:szCs w:val="21"/>
              </w:rPr>
              <w:t>D&amp;R及其关联</w:t>
            </w:r>
            <w:r>
              <w:rPr>
                <w:rFonts w:hint="eastAsia" w:ascii="Times New Roman" w:hAnsi="Times New Roman" w:eastAsia="仿宋"/>
                <w:szCs w:val="21"/>
              </w:rPr>
              <w:t>实体</w:t>
            </w:r>
            <w:r>
              <w:rPr>
                <w:rFonts w:ascii="Times New Roman" w:hAnsi="Times New Roman" w:eastAsia="仿宋"/>
                <w:szCs w:val="21"/>
              </w:rPr>
              <w:t>投资基金</w:t>
            </w:r>
            <w:r>
              <w:rPr>
                <w:rFonts w:hint="eastAsia" w:ascii="Times New Roman" w:hAnsi="Times New Roman" w:eastAsia="仿宋"/>
                <w:szCs w:val="21"/>
              </w:rPr>
              <w:t>、德太及其关联实体投资基金将直接或间接分别持有Covetrus的</w:t>
            </w:r>
            <w:r>
              <w:rPr>
                <w:rFonts w:ascii="Times New Roman" w:hAnsi="Times New Roman" w:eastAsia="仿宋"/>
                <w:szCs w:val="21"/>
              </w:rPr>
              <w:t>65</w:t>
            </w:r>
            <w:r>
              <w:rPr>
                <w:rFonts w:hint="eastAsia" w:ascii="Times New Roman" w:hAnsi="Times New Roman" w:eastAsia="仿宋"/>
                <w:szCs w:val="21"/>
              </w:rPr>
              <w:t>%</w:t>
            </w:r>
            <w:r>
              <w:rPr>
                <w:rFonts w:ascii="Times New Roman" w:hAnsi="Times New Roman" w:eastAsia="仿宋"/>
                <w:szCs w:val="21"/>
              </w:rPr>
              <w:t>和</w:t>
            </w:r>
            <w:r>
              <w:rPr>
                <w:rFonts w:hint="eastAsia" w:ascii="Times New Roman" w:hAnsi="Times New Roman" w:eastAsia="仿宋"/>
                <w:szCs w:val="21"/>
              </w:rPr>
              <w:t>3</w:t>
            </w:r>
            <w:r>
              <w:rPr>
                <w:rFonts w:ascii="Times New Roman" w:hAnsi="Times New Roman" w:eastAsia="仿宋"/>
                <w:szCs w:val="21"/>
              </w:rPr>
              <w:t>5</w:t>
            </w:r>
            <w:r>
              <w:rPr>
                <w:rFonts w:hint="eastAsia" w:ascii="Times New Roman" w:hAnsi="Times New Roman" w:eastAsia="仿宋"/>
                <w:szCs w:val="21"/>
              </w:rPr>
              <w:t>%</w:t>
            </w:r>
            <w:r>
              <w:rPr>
                <w:rFonts w:ascii="Times New Roman" w:hAnsi="Times New Roman" w:eastAsia="仿宋"/>
                <w:szCs w:val="21"/>
              </w:rPr>
              <w:t>的股份</w:t>
            </w:r>
            <w:r>
              <w:rPr>
                <w:rFonts w:hint="eastAsia" w:ascii="Times New Roman" w:hAnsi="Times New Roman" w:eastAsia="仿宋"/>
                <w:szCs w:val="21"/>
              </w:rPr>
              <w:t>，</w:t>
            </w:r>
            <w:r>
              <w:rPr>
                <w:rFonts w:ascii="Times New Roman" w:hAnsi="Times New Roman" w:eastAsia="仿宋"/>
                <w:szCs w:val="21"/>
              </w:rPr>
              <w:t>并共同控制</w:t>
            </w:r>
            <w:r>
              <w:rPr>
                <w:rFonts w:hint="eastAsia" w:ascii="Times New Roman" w:hAnsi="Times New Roman" w:eastAsia="仿宋"/>
                <w:szCs w:val="21"/>
              </w:rPr>
              <w:t>Covetrus。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jc w:val="left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参与集中的经营者简介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  <w:r>
              <w:rPr>
                <w:rFonts w:ascii="Times New Roman" w:hAnsi="仿宋" w:eastAsia="仿宋"/>
                <w:szCs w:val="21"/>
              </w:rPr>
              <w:t>、</w:t>
            </w:r>
            <w:r>
              <w:rPr>
                <w:rFonts w:ascii="Times New Roman" w:hAnsi="Times New Roman" w:eastAsia="仿宋"/>
                <w:bCs/>
                <w:kern w:val="0"/>
                <w:szCs w:val="21"/>
              </w:rPr>
              <w:t xml:space="preserve">CD&amp;R </w:t>
            </w:r>
          </w:p>
        </w:tc>
        <w:tc>
          <w:tcPr>
            <w:tcW w:w="5502" w:type="dxa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CD&amp;R</w:t>
            </w:r>
            <w:r>
              <w:rPr>
                <w:rFonts w:hint="eastAsia" w:ascii="Times New Roman" w:hAnsi="Times New Roman" w:eastAsia="仿宋"/>
                <w:szCs w:val="21"/>
              </w:rPr>
              <w:t>的</w:t>
            </w:r>
            <w:r>
              <w:rPr>
                <w:rFonts w:ascii="Times New Roman" w:hAnsi="Times New Roman" w:eastAsia="仿宋"/>
                <w:szCs w:val="21"/>
              </w:rPr>
              <w:t>最终控制人为克莱顿·杜比利尔及莱斯控股</w:t>
            </w:r>
            <w:r>
              <w:rPr>
                <w:rFonts w:ascii="Times New Roman" w:hAnsi="Times New Roman" w:eastAsia="仿宋"/>
                <w:szCs w:val="21"/>
                <w:lang w:eastAsia="zh-Hans"/>
              </w:rPr>
              <w:t>有限责任公司</w:t>
            </w:r>
            <w:r>
              <w:rPr>
                <w:rFonts w:hint="eastAsia" w:ascii="Times New Roman" w:hAnsi="Times New Roman" w:eastAsia="仿宋"/>
                <w:szCs w:val="21"/>
              </w:rPr>
              <w:t>（住所位于美国）</w:t>
            </w:r>
            <w:r>
              <w:rPr>
                <w:rFonts w:ascii="Times New Roman" w:hAnsi="Times New Roman" w:eastAsia="仿宋"/>
                <w:szCs w:val="21"/>
              </w:rPr>
              <w:t>。</w:t>
            </w:r>
            <w:r>
              <w:rPr>
                <w:rFonts w:hint="eastAsia" w:ascii="Times New Roman" w:hAnsi="Times New Roman" w:eastAsia="仿宋"/>
                <w:szCs w:val="21"/>
              </w:rPr>
              <w:t>C</w:t>
            </w:r>
            <w:r>
              <w:rPr>
                <w:rFonts w:ascii="Times New Roman" w:hAnsi="Times New Roman" w:eastAsia="仿宋"/>
                <w:szCs w:val="21"/>
              </w:rPr>
              <w:t>D&amp;R</w:t>
            </w:r>
            <w:r>
              <w:rPr>
                <w:rFonts w:hint="eastAsia" w:ascii="Times New Roman" w:hAnsi="Times New Roman" w:eastAsia="仿宋"/>
                <w:szCs w:val="21"/>
              </w:rPr>
              <w:t>及其最终控制人</w:t>
            </w:r>
            <w:r>
              <w:rPr>
                <w:rFonts w:ascii="Times New Roman" w:hAnsi="Times New Roman" w:eastAsia="仿宋"/>
                <w:szCs w:val="21"/>
              </w:rPr>
              <w:t>在全球范围内发起、组建并牵头管理层收购、少数股权战略投资和其他战略投资。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szCs w:val="21"/>
              </w:rPr>
              <w:t>、德太</w:t>
            </w:r>
          </w:p>
        </w:tc>
        <w:tc>
          <w:tcPr>
            <w:tcW w:w="5502" w:type="dxa"/>
            <w:vAlign w:val="center"/>
          </w:tcPr>
          <w:p>
            <w:pPr>
              <w:widowControl/>
              <w:snapToGrid w:val="0"/>
              <w:spacing w:before="156" w:beforeLines="50" w:after="156" w:afterLines="5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德太于</w:t>
            </w:r>
            <w:r>
              <w:rPr>
                <w:rFonts w:hint="eastAsia" w:ascii="Times New Roman" w:hAnsi="Times New Roman" w:eastAsia="仿宋"/>
                <w:szCs w:val="21"/>
              </w:rPr>
              <w:t>2</w:t>
            </w:r>
            <w:r>
              <w:rPr>
                <w:rFonts w:ascii="Times New Roman" w:hAnsi="Times New Roman" w:eastAsia="仿宋"/>
                <w:szCs w:val="21"/>
              </w:rPr>
              <w:t>018年</w:t>
            </w:r>
            <w:r>
              <w:rPr>
                <w:rFonts w:hint="eastAsia" w:ascii="Times New Roman" w:hAnsi="Times New Roman" w:eastAsia="仿宋"/>
                <w:szCs w:val="21"/>
              </w:rPr>
              <w:t>3月1</w:t>
            </w:r>
            <w:r>
              <w:rPr>
                <w:rFonts w:ascii="Times New Roman" w:hAnsi="Times New Roman" w:eastAsia="仿宋"/>
                <w:szCs w:val="21"/>
              </w:rPr>
              <w:t>9日在美国特拉华州设立。德太是一个私人投资公司，管理着一</w:t>
            </w:r>
            <w:r>
              <w:rPr>
                <w:rFonts w:hint="eastAsia" w:ascii="Times New Roman" w:hAnsi="Times New Roman" w:eastAsia="仿宋"/>
                <w:szCs w:val="21"/>
              </w:rPr>
              <w:t>系列</w:t>
            </w:r>
            <w:r>
              <w:rPr>
                <w:rFonts w:ascii="Times New Roman" w:hAnsi="Times New Roman" w:eastAsia="仿宋"/>
                <w:szCs w:val="21"/>
              </w:rPr>
              <w:t>通过并购和重组投资于各种企业的基金。</w:t>
            </w:r>
          </w:p>
          <w:p>
            <w:pPr>
              <w:widowControl/>
              <w:snapToGrid w:val="0"/>
              <w:spacing w:before="156" w:beforeLines="50" w:after="156" w:afterLines="5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德太最终控制人为三位自然人</w:t>
            </w:r>
            <w:r>
              <w:rPr>
                <w:rFonts w:hint="eastAsia" w:ascii="Times New Roman" w:hAnsi="Times New Roman" w:eastAsia="仿宋"/>
                <w:szCs w:val="21"/>
              </w:rPr>
              <w:t>，其主要业务与</w:t>
            </w:r>
            <w:r>
              <w:rPr>
                <w:rFonts w:ascii="Times New Roman" w:hAnsi="Times New Roman" w:eastAsia="仿宋"/>
                <w:szCs w:val="21"/>
              </w:rPr>
              <w:t>德太的主要业务相同</w:t>
            </w:r>
            <w:r>
              <w:rPr>
                <w:rFonts w:hint="eastAsia" w:ascii="Times New Roman" w:hAnsi="Times New Roman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  <w:r>
              <w:rPr>
                <w:rFonts w:ascii="Times New Roman" w:hAnsi="仿宋" w:eastAsia="仿宋"/>
                <w:szCs w:val="21"/>
              </w:rPr>
              <w:t>、</w:t>
            </w:r>
            <w:r>
              <w:rPr>
                <w:rFonts w:hint="eastAsia" w:ascii="Times New Roman" w:hAnsi="Times New Roman" w:eastAsia="仿宋"/>
                <w:szCs w:val="21"/>
              </w:rPr>
              <w:t>Covetrus</w:t>
            </w:r>
          </w:p>
        </w:tc>
        <w:tc>
          <w:tcPr>
            <w:tcW w:w="5502" w:type="dxa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Covetrus</w:t>
            </w:r>
            <w:r>
              <w:rPr>
                <w:rFonts w:ascii="Times New Roman" w:hAnsi="Times New Roman" w:eastAsia="仿宋"/>
                <w:szCs w:val="21"/>
              </w:rPr>
              <w:t xml:space="preserve"> 于2018年4月13日在美国特拉华州设立</w:t>
            </w:r>
            <w:r>
              <w:rPr>
                <w:rFonts w:hint="eastAsia" w:ascii="Times New Roman" w:hAnsi="Times New Roman" w:eastAsia="仿宋"/>
                <w:szCs w:val="21"/>
              </w:rPr>
              <w:t>，为美国</w:t>
            </w:r>
            <w:r>
              <w:rPr>
                <w:rFonts w:ascii="Times New Roman" w:hAnsi="Times New Roman" w:eastAsia="仿宋"/>
                <w:szCs w:val="21"/>
              </w:rPr>
              <w:t>纳斯达克交易所上市公司</w:t>
            </w:r>
            <w:r>
              <w:rPr>
                <w:rFonts w:hint="eastAsia" w:ascii="Times New Roman" w:hAnsi="Times New Roman" w:eastAsia="仿宋"/>
                <w:szCs w:val="21"/>
              </w:rPr>
              <w:t>。</w:t>
            </w:r>
            <w:r>
              <w:rPr>
                <w:rFonts w:ascii="Times New Roman" w:hAnsi="Times New Roman" w:eastAsia="仿宋"/>
                <w:szCs w:val="21"/>
              </w:rPr>
              <w:t>Covetrus是一家在全球</w:t>
            </w:r>
            <w:r>
              <w:rPr>
                <w:rFonts w:hint="eastAsia" w:ascii="Times New Roman" w:hAnsi="Times New Roman" w:eastAsia="仿宋"/>
                <w:szCs w:val="21"/>
              </w:rPr>
              <w:t>提供</w:t>
            </w:r>
            <w:r>
              <w:rPr>
                <w:rFonts w:ascii="Times New Roman" w:hAnsi="Times New Roman" w:eastAsia="仿宋"/>
                <w:szCs w:val="21"/>
              </w:rPr>
              <w:t>动物健康技术和服务的</w:t>
            </w:r>
            <w:r>
              <w:rPr>
                <w:rFonts w:hint="eastAsia" w:ascii="Times New Roman" w:hAnsi="Times New Roman" w:eastAsia="仿宋"/>
                <w:szCs w:val="21"/>
              </w:rPr>
              <w:t>供应</w:t>
            </w:r>
            <w:r>
              <w:rPr>
                <w:rFonts w:ascii="Times New Roman" w:hAnsi="Times New Roman" w:eastAsia="仿宋"/>
                <w:szCs w:val="21"/>
              </w:rPr>
              <w:t>商，为</w:t>
            </w:r>
            <w:r>
              <w:rPr>
                <w:rFonts w:hint="eastAsia" w:ascii="Times New Roman" w:hAnsi="Times New Roman" w:eastAsia="仿宋"/>
                <w:szCs w:val="21"/>
              </w:rPr>
              <w:t>活跃于宠物</w:t>
            </w:r>
            <w:r>
              <w:rPr>
                <w:rFonts w:ascii="Times New Roman" w:hAnsi="Times New Roman" w:eastAsia="仿宋"/>
                <w:szCs w:val="21"/>
              </w:rPr>
              <w:t>、马和大型动物兽医市场的公司</w:t>
            </w:r>
            <w:r>
              <w:rPr>
                <w:rFonts w:hint="eastAsia" w:ascii="Times New Roman" w:hAnsi="Times New Roman" w:eastAsia="仿宋"/>
                <w:szCs w:val="21"/>
              </w:rPr>
              <w:t>（</w:t>
            </w:r>
            <w:r>
              <w:rPr>
                <w:rFonts w:ascii="Times New Roman" w:hAnsi="Times New Roman" w:eastAsia="仿宋"/>
                <w:szCs w:val="21"/>
              </w:rPr>
              <w:t>特别是兽医和动物健康从业人员</w:t>
            </w:r>
            <w:r>
              <w:rPr>
                <w:rFonts w:hint="eastAsia" w:ascii="Times New Roman" w:hAnsi="Times New Roman" w:eastAsia="仿宋"/>
                <w:szCs w:val="21"/>
              </w:rPr>
              <w:t>）</w:t>
            </w:r>
            <w:r>
              <w:rPr>
                <w:rFonts w:ascii="Times New Roman" w:hAnsi="Times New Roman" w:eastAsia="仿宋"/>
                <w:szCs w:val="21"/>
              </w:rPr>
              <w:t>提供服务。</w:t>
            </w:r>
            <w:r>
              <w:rPr>
                <w:rFonts w:hint="eastAsia" w:ascii="Times New Roman" w:hAnsi="Times New Roman" w:eastAsia="仿宋"/>
                <w:szCs w:val="21"/>
              </w:rPr>
              <w:t>在</w:t>
            </w:r>
            <w:r>
              <w:rPr>
                <w:rFonts w:ascii="Times New Roman" w:hAnsi="Times New Roman" w:eastAsia="仿宋"/>
                <w:szCs w:val="21"/>
              </w:rPr>
              <w:t>兽医</w:t>
            </w:r>
            <w:r>
              <w:rPr>
                <w:rFonts w:hint="eastAsia" w:ascii="Times New Roman" w:hAnsi="Times New Roman" w:eastAsia="仿宋"/>
                <w:szCs w:val="21"/>
              </w:rPr>
              <w:t>领域，</w:t>
            </w:r>
            <w:r>
              <w:rPr>
                <w:rFonts w:ascii="Times New Roman" w:hAnsi="Times New Roman" w:eastAsia="仿宋"/>
                <w:szCs w:val="21"/>
              </w:rPr>
              <w:t>它</w:t>
            </w:r>
            <w:r>
              <w:rPr>
                <w:rFonts w:hint="eastAsia" w:ascii="Times New Roman" w:hAnsi="Times New Roman" w:eastAsia="仿宋"/>
                <w:szCs w:val="21"/>
              </w:rPr>
              <w:t>主要</w:t>
            </w:r>
            <w:r>
              <w:rPr>
                <w:rFonts w:ascii="Times New Roman" w:hAnsi="Times New Roman" w:eastAsia="仿宋"/>
                <w:szCs w:val="21"/>
              </w:rPr>
              <w:t>从事三个类别</w:t>
            </w:r>
            <w:r>
              <w:rPr>
                <w:rFonts w:hint="eastAsia" w:ascii="Times New Roman" w:hAnsi="Times New Roman" w:eastAsia="仿宋"/>
                <w:szCs w:val="21"/>
              </w:rPr>
              <w:t>的业务，即</w:t>
            </w:r>
            <w:r>
              <w:rPr>
                <w:rFonts w:ascii="Times New Roman" w:hAnsi="Times New Roman" w:eastAsia="仿宋"/>
                <w:szCs w:val="21"/>
              </w:rPr>
              <w:t>供应链服务、软件服务和处方管理</w:t>
            </w:r>
            <w:r>
              <w:rPr>
                <w:rFonts w:hint="eastAsia" w:ascii="Times New Roman" w:hAnsi="Times New Roman" w:eastAsia="仿宋"/>
                <w:szCs w:val="21"/>
              </w:rPr>
              <w:t>服务</w:t>
            </w:r>
            <w:r>
              <w:rPr>
                <w:rFonts w:ascii="Times New Roman" w:hAnsi="Times New Roman" w:eastAsia="仿宋"/>
                <w:szCs w:val="21"/>
              </w:rPr>
              <w:t>。</w:t>
            </w:r>
          </w:p>
          <w:p>
            <w:pPr>
              <w:widowControl/>
              <w:snapToGrid w:val="0"/>
              <w:rPr>
                <w:rFonts w:ascii="Times New Roman" w:hAnsi="Times New Roman" w:eastAsia="仿宋"/>
                <w:szCs w:val="21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Covetrus没有最终控制人。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□1</w:t>
            </w:r>
            <w:r>
              <w:rPr>
                <w:rFonts w:ascii="Times New Roman" w:hAnsi="仿宋" w:eastAsia="仿宋"/>
                <w:szCs w:val="21"/>
              </w:rPr>
              <w:t>、在同一相关市场，所有参与集中的经营者所占市场份额之和小于</w:t>
            </w:r>
            <w:r>
              <w:rPr>
                <w:rFonts w:ascii="Times New Roman" w:hAnsi="Times New Roman" w:eastAsia="仿宋"/>
                <w:szCs w:val="21"/>
              </w:rPr>
              <w:t>15%</w:t>
            </w:r>
            <w:r>
              <w:rPr>
                <w:rFonts w:ascii="Times New Roman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□2</w:t>
            </w:r>
            <w:r>
              <w:rPr>
                <w:rFonts w:ascii="Times New Roman" w:hAnsi="仿宋" w:eastAsia="仿宋"/>
                <w:szCs w:val="21"/>
              </w:rPr>
              <w:t>、存在上下游关系的参与集中的经营者，在上下游市场所占的市场份额均小于</w:t>
            </w:r>
            <w:r>
              <w:rPr>
                <w:rFonts w:ascii="Times New Roman" w:hAnsi="Times New Roman" w:eastAsia="仿宋"/>
                <w:szCs w:val="21"/>
              </w:rPr>
              <w:t>25%</w:t>
            </w:r>
            <w:r>
              <w:rPr>
                <w:rFonts w:ascii="Times New Roman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sym w:font="Wingdings" w:char="F0FE"/>
            </w:r>
            <w:r>
              <w:rPr>
                <w:rFonts w:ascii="Times New Roman" w:hAnsi="Times New Roman" w:eastAsia="仿宋"/>
                <w:szCs w:val="21"/>
              </w:rPr>
              <w:t>3</w:t>
            </w:r>
            <w:r>
              <w:rPr>
                <w:rFonts w:ascii="Times New Roman" w:hAnsi="仿宋" w:eastAsia="仿宋"/>
                <w:szCs w:val="21"/>
              </w:rPr>
              <w:t>、不在同一相关市场、也不存在上下游关系的参与集中的经营者，在与交易有关的每个市场所占的份额均小于</w:t>
            </w:r>
            <w:r>
              <w:rPr>
                <w:rFonts w:ascii="Times New Roman" w:hAnsi="Times New Roman" w:eastAsia="仿宋"/>
                <w:szCs w:val="21"/>
              </w:rPr>
              <w:t>25%</w:t>
            </w:r>
            <w:r>
              <w:rPr>
                <w:rFonts w:ascii="Times New Roman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□4</w:t>
            </w:r>
            <w:r>
              <w:rPr>
                <w:rFonts w:ascii="Times New Roman" w:hAnsi="仿宋" w:eastAsia="仿宋"/>
                <w:szCs w:val="21"/>
              </w:rPr>
              <w:t>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□5</w:t>
            </w:r>
            <w:r>
              <w:rPr>
                <w:rFonts w:ascii="Times New Roman" w:hAnsi="仿宋" w:eastAsia="仿宋"/>
                <w:szCs w:val="21"/>
              </w:rPr>
              <w:t>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□6</w:t>
            </w:r>
            <w:r>
              <w:rPr>
                <w:rFonts w:ascii="Times New Roman" w:hAnsi="仿宋" w:eastAsia="仿宋"/>
                <w:szCs w:val="21"/>
              </w:rPr>
              <w:t>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</w:tcPr>
          <w:p>
            <w:pPr>
              <w:spacing w:line="500" w:lineRule="exact"/>
              <w:rPr>
                <w:rFonts w:ascii="Times New Roman" w:hAnsi="Times New Roman" w:eastAsia="仿宋"/>
                <w:b/>
                <w:szCs w:val="21"/>
              </w:rPr>
            </w:pPr>
            <w:r>
              <w:rPr>
                <w:rFonts w:ascii="Times New Roman" w:hAnsi="仿宋" w:eastAsia="仿宋"/>
                <w:b/>
                <w:szCs w:val="21"/>
              </w:rPr>
              <w:t>备注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rPr>
                <w:rFonts w:ascii="Times New Roman" w:hAnsi="仿宋" w:eastAsia="仿宋"/>
                <w:b/>
                <w:szCs w:val="21"/>
              </w:rPr>
            </w:pPr>
          </w:p>
          <w:p>
            <w:pPr>
              <w:rPr>
                <w:rFonts w:ascii="Times New Roman" w:hAnsi="仿宋" w:eastAsia="仿宋"/>
                <w:szCs w:val="21"/>
              </w:rPr>
            </w:pPr>
            <w:r>
              <w:rPr>
                <w:rFonts w:hint="eastAsia" w:ascii="Times New Roman" w:hAnsi="仿宋" w:eastAsia="仿宋"/>
                <w:szCs w:val="21"/>
              </w:rPr>
              <w:t>相关市场：2021年中国境内兽用医疗产品批发供应市场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Covetrus：[0-</w:t>
            </w:r>
            <w:r>
              <w:rPr>
                <w:rFonts w:ascii="Times New Roman" w:hAnsi="Times New Roman" w:eastAsia="仿宋"/>
                <w:szCs w:val="21"/>
              </w:rPr>
              <w:t xml:space="preserve">5]%  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仿宋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MwNTQ1MLM0MzRR0lEKTi0uzszPAykwrAUAVjK5nSwAAAA="/>
  </w:docVars>
  <w:rsids>
    <w:rsidRoot w:val="00094095"/>
    <w:rsid w:val="00015FEC"/>
    <w:rsid w:val="0002196F"/>
    <w:rsid w:val="00035989"/>
    <w:rsid w:val="00040460"/>
    <w:rsid w:val="0005551D"/>
    <w:rsid w:val="00056AB2"/>
    <w:rsid w:val="00071AD2"/>
    <w:rsid w:val="00094095"/>
    <w:rsid w:val="000B1D7A"/>
    <w:rsid w:val="000B525B"/>
    <w:rsid w:val="000D0BBB"/>
    <w:rsid w:val="000D5CDC"/>
    <w:rsid w:val="000E3542"/>
    <w:rsid w:val="000F7BA2"/>
    <w:rsid w:val="001200C0"/>
    <w:rsid w:val="001333F4"/>
    <w:rsid w:val="001546F2"/>
    <w:rsid w:val="001775B1"/>
    <w:rsid w:val="001818CA"/>
    <w:rsid w:val="00181D56"/>
    <w:rsid w:val="001C67FD"/>
    <w:rsid w:val="001C6A5F"/>
    <w:rsid w:val="001C6F69"/>
    <w:rsid w:val="001E44F4"/>
    <w:rsid w:val="001F197A"/>
    <w:rsid w:val="00210BCC"/>
    <w:rsid w:val="00214485"/>
    <w:rsid w:val="00216795"/>
    <w:rsid w:val="00225C49"/>
    <w:rsid w:val="00245776"/>
    <w:rsid w:val="00265119"/>
    <w:rsid w:val="0027125A"/>
    <w:rsid w:val="00272AB1"/>
    <w:rsid w:val="002B0CB8"/>
    <w:rsid w:val="002C3060"/>
    <w:rsid w:val="002C62A9"/>
    <w:rsid w:val="002C6904"/>
    <w:rsid w:val="002D7907"/>
    <w:rsid w:val="002F2D60"/>
    <w:rsid w:val="00307976"/>
    <w:rsid w:val="00322BD0"/>
    <w:rsid w:val="003268A0"/>
    <w:rsid w:val="00333B19"/>
    <w:rsid w:val="0033461F"/>
    <w:rsid w:val="0033698A"/>
    <w:rsid w:val="00344ACB"/>
    <w:rsid w:val="00365DFA"/>
    <w:rsid w:val="00382A42"/>
    <w:rsid w:val="00393AB2"/>
    <w:rsid w:val="003972D3"/>
    <w:rsid w:val="003A280A"/>
    <w:rsid w:val="003A37BD"/>
    <w:rsid w:val="003D5351"/>
    <w:rsid w:val="0043240D"/>
    <w:rsid w:val="004522EB"/>
    <w:rsid w:val="00452E2A"/>
    <w:rsid w:val="00457929"/>
    <w:rsid w:val="00462174"/>
    <w:rsid w:val="004636E0"/>
    <w:rsid w:val="004643F8"/>
    <w:rsid w:val="00464710"/>
    <w:rsid w:val="00470677"/>
    <w:rsid w:val="004748FC"/>
    <w:rsid w:val="004760DC"/>
    <w:rsid w:val="004A3469"/>
    <w:rsid w:val="004A3C1D"/>
    <w:rsid w:val="004A5532"/>
    <w:rsid w:val="004A70D9"/>
    <w:rsid w:val="004B0C12"/>
    <w:rsid w:val="004B25D8"/>
    <w:rsid w:val="004C7305"/>
    <w:rsid w:val="004F5738"/>
    <w:rsid w:val="00515FC0"/>
    <w:rsid w:val="0051697A"/>
    <w:rsid w:val="00536D71"/>
    <w:rsid w:val="00543317"/>
    <w:rsid w:val="0054527C"/>
    <w:rsid w:val="005B764B"/>
    <w:rsid w:val="005C1BA6"/>
    <w:rsid w:val="005C2049"/>
    <w:rsid w:val="005D1E6F"/>
    <w:rsid w:val="005E4A9C"/>
    <w:rsid w:val="005E7C26"/>
    <w:rsid w:val="005F167B"/>
    <w:rsid w:val="00623F53"/>
    <w:rsid w:val="00630CAC"/>
    <w:rsid w:val="00632E3C"/>
    <w:rsid w:val="00633814"/>
    <w:rsid w:val="006406ED"/>
    <w:rsid w:val="00681BD3"/>
    <w:rsid w:val="0068650B"/>
    <w:rsid w:val="00695458"/>
    <w:rsid w:val="006A2E8E"/>
    <w:rsid w:val="006D43E1"/>
    <w:rsid w:val="006E36B8"/>
    <w:rsid w:val="006E5E92"/>
    <w:rsid w:val="006F2A87"/>
    <w:rsid w:val="006F336C"/>
    <w:rsid w:val="00713275"/>
    <w:rsid w:val="00721CDE"/>
    <w:rsid w:val="007266BD"/>
    <w:rsid w:val="00732F6D"/>
    <w:rsid w:val="00750211"/>
    <w:rsid w:val="007560BC"/>
    <w:rsid w:val="00760A24"/>
    <w:rsid w:val="00767F92"/>
    <w:rsid w:val="00775B14"/>
    <w:rsid w:val="00783D11"/>
    <w:rsid w:val="00784F40"/>
    <w:rsid w:val="00796F6A"/>
    <w:rsid w:val="007C08C1"/>
    <w:rsid w:val="007C0EBC"/>
    <w:rsid w:val="007C1055"/>
    <w:rsid w:val="007C3744"/>
    <w:rsid w:val="007D299F"/>
    <w:rsid w:val="007E15C4"/>
    <w:rsid w:val="007E1851"/>
    <w:rsid w:val="007F6993"/>
    <w:rsid w:val="00807784"/>
    <w:rsid w:val="00812083"/>
    <w:rsid w:val="00816833"/>
    <w:rsid w:val="008213F5"/>
    <w:rsid w:val="00822FC0"/>
    <w:rsid w:val="008439B1"/>
    <w:rsid w:val="00856887"/>
    <w:rsid w:val="00860D9C"/>
    <w:rsid w:val="00862926"/>
    <w:rsid w:val="00864E5A"/>
    <w:rsid w:val="00870B5D"/>
    <w:rsid w:val="008724BE"/>
    <w:rsid w:val="008A2D3A"/>
    <w:rsid w:val="008A43A5"/>
    <w:rsid w:val="008C6E18"/>
    <w:rsid w:val="008D4593"/>
    <w:rsid w:val="008D7EF4"/>
    <w:rsid w:val="008F5D41"/>
    <w:rsid w:val="009030D6"/>
    <w:rsid w:val="00911F6A"/>
    <w:rsid w:val="00916449"/>
    <w:rsid w:val="00925612"/>
    <w:rsid w:val="00937961"/>
    <w:rsid w:val="0094619C"/>
    <w:rsid w:val="00954C20"/>
    <w:rsid w:val="00975020"/>
    <w:rsid w:val="0098467E"/>
    <w:rsid w:val="00985EB9"/>
    <w:rsid w:val="009A5986"/>
    <w:rsid w:val="009C5AB9"/>
    <w:rsid w:val="009C5D29"/>
    <w:rsid w:val="009D140F"/>
    <w:rsid w:val="009D7407"/>
    <w:rsid w:val="009E335D"/>
    <w:rsid w:val="00A00363"/>
    <w:rsid w:val="00A07F3C"/>
    <w:rsid w:val="00A1304E"/>
    <w:rsid w:val="00A16214"/>
    <w:rsid w:val="00A1716E"/>
    <w:rsid w:val="00A24168"/>
    <w:rsid w:val="00A42E3D"/>
    <w:rsid w:val="00A50F20"/>
    <w:rsid w:val="00A74741"/>
    <w:rsid w:val="00AA090F"/>
    <w:rsid w:val="00AA65E3"/>
    <w:rsid w:val="00AE7EAA"/>
    <w:rsid w:val="00B248D3"/>
    <w:rsid w:val="00B24DFF"/>
    <w:rsid w:val="00B375D2"/>
    <w:rsid w:val="00B375DB"/>
    <w:rsid w:val="00B628DC"/>
    <w:rsid w:val="00B77629"/>
    <w:rsid w:val="00B86887"/>
    <w:rsid w:val="00BA0750"/>
    <w:rsid w:val="00BA3947"/>
    <w:rsid w:val="00BB2377"/>
    <w:rsid w:val="00BB323E"/>
    <w:rsid w:val="00BC047C"/>
    <w:rsid w:val="00BC3714"/>
    <w:rsid w:val="00BD787F"/>
    <w:rsid w:val="00BF6B87"/>
    <w:rsid w:val="00C02D65"/>
    <w:rsid w:val="00C210B9"/>
    <w:rsid w:val="00C2508B"/>
    <w:rsid w:val="00C3207E"/>
    <w:rsid w:val="00C33A20"/>
    <w:rsid w:val="00C41AE9"/>
    <w:rsid w:val="00C55B9D"/>
    <w:rsid w:val="00C7232A"/>
    <w:rsid w:val="00C9068E"/>
    <w:rsid w:val="00C91F81"/>
    <w:rsid w:val="00C92AC9"/>
    <w:rsid w:val="00CB349E"/>
    <w:rsid w:val="00CC4D06"/>
    <w:rsid w:val="00CD1B86"/>
    <w:rsid w:val="00CE7258"/>
    <w:rsid w:val="00CF2118"/>
    <w:rsid w:val="00CF522C"/>
    <w:rsid w:val="00D131EB"/>
    <w:rsid w:val="00D21777"/>
    <w:rsid w:val="00D22594"/>
    <w:rsid w:val="00D26A40"/>
    <w:rsid w:val="00D30285"/>
    <w:rsid w:val="00D404A9"/>
    <w:rsid w:val="00D542DA"/>
    <w:rsid w:val="00D64C53"/>
    <w:rsid w:val="00D84B2B"/>
    <w:rsid w:val="00D9028D"/>
    <w:rsid w:val="00D94F5A"/>
    <w:rsid w:val="00D9700E"/>
    <w:rsid w:val="00DA5E07"/>
    <w:rsid w:val="00DC4FE2"/>
    <w:rsid w:val="00DD0A04"/>
    <w:rsid w:val="00DD714E"/>
    <w:rsid w:val="00DE423C"/>
    <w:rsid w:val="00DE7D28"/>
    <w:rsid w:val="00E177BB"/>
    <w:rsid w:val="00E20658"/>
    <w:rsid w:val="00E31506"/>
    <w:rsid w:val="00E31C8A"/>
    <w:rsid w:val="00E36EC7"/>
    <w:rsid w:val="00E423F1"/>
    <w:rsid w:val="00E44AFE"/>
    <w:rsid w:val="00E459CE"/>
    <w:rsid w:val="00E53ECC"/>
    <w:rsid w:val="00E603D6"/>
    <w:rsid w:val="00EA39B0"/>
    <w:rsid w:val="00EB2BC3"/>
    <w:rsid w:val="00ED21B1"/>
    <w:rsid w:val="00F043F8"/>
    <w:rsid w:val="00F04F9B"/>
    <w:rsid w:val="00F152D7"/>
    <w:rsid w:val="00F27C22"/>
    <w:rsid w:val="00F32BF5"/>
    <w:rsid w:val="00F40A9E"/>
    <w:rsid w:val="00F51686"/>
    <w:rsid w:val="00F87C1F"/>
    <w:rsid w:val="00F90C9D"/>
    <w:rsid w:val="00FB6B89"/>
    <w:rsid w:val="00FC12EB"/>
    <w:rsid w:val="00FD3148"/>
    <w:rsid w:val="7995ED1C"/>
    <w:rsid w:val="7EBDE62C"/>
    <w:rsid w:val="FBBA8F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endnote text"/>
    <w:basedOn w:val="1"/>
    <w:link w:val="13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ndnote reference"/>
    <w:semiHidden/>
    <w:unhideWhenUsed/>
    <w:qFormat/>
    <w:uiPriority w:val="99"/>
    <w:rPr>
      <w:vertAlign w:val="superscript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尾注文本 Char"/>
    <w:basedOn w:val="10"/>
    <w:link w:val="3"/>
    <w:semiHidden/>
    <w:qFormat/>
    <w:uiPriority w:val="99"/>
  </w:style>
  <w:style w:type="character" w:customStyle="1" w:styleId="14">
    <w:name w:val="页眉 Char"/>
    <w:link w:val="6"/>
    <w:qFormat/>
    <w:uiPriority w:val="99"/>
    <w:rPr>
      <w:sz w:val="18"/>
      <w:szCs w:val="18"/>
    </w:rPr>
  </w:style>
  <w:style w:type="character" w:customStyle="1" w:styleId="15">
    <w:name w:val="页脚 Char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2022-07-14T16:13:00Z</dcterms:created>
  <dc:creator>dell</dc:creator>
  <cp:lastModifiedBy>oa</cp:lastModifiedBy>
  <cp:lastPrinted>2018-04-04T19:32:00Z</cp:lastPrinted>
  <dcterms:modified xsi:type="dcterms:W3CDTF">2022-07-18T14:53:18Z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