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6"/>
          <w:szCs w:val="36"/>
        </w:rPr>
      </w:pPr>
      <w:bookmarkStart w:id="1" w:name="_GoBack"/>
      <w:bookmarkEnd w:id="1"/>
      <w:r>
        <w:rPr>
          <w:rFonts w:hint="eastAsia" w:ascii="黑体" w:hAnsi="黑体" w:eastAsia="黑体" w:cs="黑体"/>
          <w:bCs/>
          <w:sz w:val="36"/>
          <w:szCs w:val="36"/>
        </w:rPr>
        <w:t>经营者集中简易案件公示表</w:t>
      </w:r>
    </w:p>
    <w:tbl>
      <w:tblPr>
        <w:tblStyle w:val="6"/>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40" w:type="dxa"/>
            <w:shd w:val="clear" w:color="auto" w:fill="D9D9D9"/>
            <w:vAlign w:val="center"/>
          </w:tcPr>
          <w:p>
            <w:pPr>
              <w:adjustRightInd w:val="0"/>
              <w:snapToGrid w:val="0"/>
              <w:rPr>
                <w:rFonts w:ascii="宋体" w:hAnsi="宋体" w:cs="宋体"/>
                <w:bCs/>
                <w:color w:val="000000"/>
              </w:rPr>
            </w:pPr>
            <w:r>
              <w:rPr>
                <w:rFonts w:hint="eastAsia" w:ascii="宋体" w:hAnsi="宋体" w:cs="宋体"/>
                <w:bCs/>
                <w:color w:val="000000"/>
              </w:rPr>
              <w:t>案件名称</w:t>
            </w:r>
          </w:p>
        </w:tc>
        <w:tc>
          <w:tcPr>
            <w:tcW w:w="7700" w:type="dxa"/>
            <w:gridSpan w:val="2"/>
            <w:vAlign w:val="center"/>
          </w:tcPr>
          <w:p>
            <w:pPr>
              <w:adjustRightInd w:val="0"/>
              <w:snapToGrid w:val="0"/>
              <w:rPr>
                <w:rFonts w:ascii="宋体" w:hAnsi="宋体" w:cs="宋体"/>
                <w:bCs/>
                <w:color w:val="000000"/>
              </w:rPr>
            </w:pPr>
            <w:r>
              <w:rPr>
                <w:rFonts w:hint="eastAsia" w:ascii="宋体" w:hAnsi="宋体" w:cs="宋体"/>
                <w:bCs/>
                <w:color w:val="000000"/>
              </w:rPr>
              <w:t>北欧资本十一号有限公司与熙维资本合伙企业收购加利集团控股有限公司股权案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940" w:type="dxa"/>
            <w:shd w:val="clear" w:color="auto" w:fill="D9D9D9"/>
            <w:vAlign w:val="center"/>
          </w:tcPr>
          <w:p>
            <w:pPr>
              <w:adjustRightInd w:val="0"/>
              <w:snapToGrid w:val="0"/>
              <w:rPr>
                <w:rFonts w:ascii="宋体" w:hAnsi="宋体" w:cs="宋体"/>
                <w:bCs/>
                <w:color w:val="000000"/>
              </w:rPr>
            </w:pPr>
            <w:r>
              <w:rPr>
                <w:rFonts w:hint="eastAsia" w:ascii="宋体" w:hAnsi="宋体" w:cs="宋体"/>
                <w:bCs/>
                <w:color w:val="000000"/>
              </w:rPr>
              <w:t>交易概况（限200字内）</w:t>
            </w:r>
          </w:p>
        </w:tc>
        <w:tc>
          <w:tcPr>
            <w:tcW w:w="7700" w:type="dxa"/>
            <w:gridSpan w:val="2"/>
            <w:vAlign w:val="center"/>
          </w:tcPr>
          <w:p>
            <w:pPr>
              <w:adjustRightInd w:val="0"/>
              <w:snapToGrid w:val="0"/>
              <w:rPr>
                <w:szCs w:val="21"/>
              </w:rPr>
            </w:pPr>
            <w:r>
              <w:rPr>
                <w:rFonts w:hint="eastAsia"/>
                <w:szCs w:val="21"/>
              </w:rPr>
              <w:t>北欧资本十一号有限公司（“北欧资本”）与熙维资本合伙企业（“熙维”）</w:t>
            </w:r>
            <w:r>
              <w:rPr>
                <w:rFonts w:hint="eastAsia" w:ascii="宋体" w:hAnsi="宋体" w:cs="宋体"/>
              </w:rPr>
              <w:t>签署协议，</w:t>
            </w:r>
            <w:r>
              <w:rPr>
                <w:rFonts w:hint="eastAsia"/>
                <w:szCs w:val="21"/>
              </w:rPr>
              <w:t>通过公开要约收购方式收购加利集团控股有限公司（“加利集团”）的控制权。北欧资本与熙维将共同新设一家要约公司，并通过要约公司对加利集团流通股发起公开要约收购。公开收购要约已于2</w:t>
            </w:r>
            <w:r>
              <w:rPr>
                <w:szCs w:val="21"/>
              </w:rPr>
              <w:t>022</w:t>
            </w:r>
            <w:r>
              <w:rPr>
                <w:rFonts w:hint="eastAsia"/>
                <w:szCs w:val="21"/>
              </w:rPr>
              <w:t>年6月2</w:t>
            </w:r>
            <w:r>
              <w:rPr>
                <w:szCs w:val="21"/>
              </w:rPr>
              <w:t>9</w:t>
            </w:r>
            <w:r>
              <w:rPr>
                <w:rFonts w:hint="eastAsia"/>
                <w:szCs w:val="21"/>
              </w:rPr>
              <w:t>日公布。</w:t>
            </w:r>
          </w:p>
          <w:p>
            <w:pPr>
              <w:adjustRightInd w:val="0"/>
              <w:snapToGrid w:val="0"/>
              <w:rPr>
                <w:rFonts w:ascii="宋体" w:hAnsi="宋体" w:cs="宋体"/>
                <w:bCs/>
                <w:color w:val="000000"/>
              </w:rPr>
            </w:pPr>
            <w:r>
              <w:rPr>
                <w:rFonts w:hint="eastAsia" w:ascii="Times" w:hAnsi="Times"/>
                <w:szCs w:val="21"/>
              </w:rPr>
              <w:t>加利集团是一家瑞典的汽车玻璃维修更换服务和汽车维修保养服务提供商。交易前，因加利集团的股份在公开市场上交易，目前没有任何企业能够单独或共同控制加利集团。交易后，如果公开要约收购成功完整实施，北欧资本和熙维共同控制加利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40" w:type="dxa"/>
            <w:vMerge w:val="restart"/>
            <w:shd w:val="clear" w:color="auto" w:fill="D9D9D9"/>
            <w:vAlign w:val="center"/>
          </w:tcPr>
          <w:p>
            <w:pPr>
              <w:adjustRightInd w:val="0"/>
              <w:snapToGrid w:val="0"/>
              <w:rPr>
                <w:rFonts w:ascii="宋体" w:hAnsi="宋体" w:cs="宋体"/>
                <w:bCs/>
                <w:color w:val="000000"/>
              </w:rPr>
            </w:pPr>
            <w:r>
              <w:rPr>
                <w:rFonts w:hint="eastAsia" w:ascii="宋体" w:hAnsi="宋体" w:cs="宋体"/>
                <w:bCs/>
                <w:color w:val="000000"/>
              </w:rPr>
              <w:t>参与集中的经营者简介（每个限100字以内）</w:t>
            </w:r>
          </w:p>
        </w:tc>
        <w:tc>
          <w:tcPr>
            <w:tcW w:w="1607" w:type="dxa"/>
            <w:vAlign w:val="center"/>
          </w:tcPr>
          <w:p>
            <w:pPr>
              <w:adjustRightInd w:val="0"/>
              <w:snapToGrid w:val="0"/>
              <w:rPr>
                <w:rFonts w:ascii="宋体" w:hAnsi="宋体" w:cs="宋体"/>
                <w:bCs/>
                <w:color w:val="000000"/>
              </w:rPr>
            </w:pPr>
            <w:r>
              <w:rPr>
                <w:rFonts w:hint="eastAsia" w:ascii="宋体" w:hAnsi="宋体" w:cs="宋体"/>
                <w:bCs/>
                <w:color w:val="000000"/>
              </w:rPr>
              <w:t>1.北欧资本</w:t>
            </w:r>
          </w:p>
        </w:tc>
        <w:tc>
          <w:tcPr>
            <w:tcW w:w="6093" w:type="dxa"/>
            <w:vAlign w:val="center"/>
          </w:tcPr>
          <w:p>
            <w:pPr>
              <w:adjustRightInd w:val="0"/>
              <w:snapToGrid w:val="0"/>
              <w:rPr>
                <w:szCs w:val="21"/>
              </w:rPr>
            </w:pPr>
            <w:r>
              <w:rPr>
                <w:rFonts w:hint="eastAsia"/>
                <w:szCs w:val="21"/>
              </w:rPr>
              <w:t>北欧资本于2</w:t>
            </w:r>
            <w:r>
              <w:rPr>
                <w:szCs w:val="21"/>
              </w:rPr>
              <w:t>020</w:t>
            </w:r>
            <w:r>
              <w:rPr>
                <w:rFonts w:hint="eastAsia"/>
                <w:szCs w:val="21"/>
              </w:rPr>
              <w:t>年3月2</w:t>
            </w:r>
            <w:r>
              <w:rPr>
                <w:szCs w:val="21"/>
              </w:rPr>
              <w:t>4</w:t>
            </w:r>
            <w:r>
              <w:rPr>
                <w:rFonts w:hint="eastAsia"/>
                <w:szCs w:val="21"/>
              </w:rPr>
              <w:t>日成立于海峡群岛泽西岛，主要业务为就其投资组合管理作出决策。</w:t>
            </w:r>
          </w:p>
          <w:p>
            <w:pPr>
              <w:adjustRightInd w:val="0"/>
              <w:snapToGrid w:val="0"/>
              <w:rPr>
                <w:szCs w:val="21"/>
              </w:rPr>
            </w:pPr>
            <w:r>
              <w:rPr>
                <w:rFonts w:hint="eastAsia"/>
                <w:szCs w:val="21"/>
              </w:rPr>
              <w:t>北欧资本没有最终控制人。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40" w:type="dxa"/>
            <w:vMerge w:val="continue"/>
            <w:shd w:val="clear" w:color="auto" w:fill="D9D9D9"/>
            <w:vAlign w:val="center"/>
          </w:tcPr>
          <w:p>
            <w:pPr>
              <w:adjustRightInd w:val="0"/>
              <w:snapToGrid w:val="0"/>
              <w:rPr>
                <w:rFonts w:ascii="宋体" w:hAnsi="宋体" w:cs="宋体"/>
                <w:bCs/>
                <w:color w:val="000000"/>
              </w:rPr>
            </w:pPr>
          </w:p>
        </w:tc>
        <w:tc>
          <w:tcPr>
            <w:tcW w:w="1607" w:type="dxa"/>
            <w:vAlign w:val="center"/>
          </w:tcPr>
          <w:p>
            <w:pPr>
              <w:adjustRightInd w:val="0"/>
              <w:snapToGrid w:val="0"/>
              <w:rPr>
                <w:rFonts w:ascii="宋体" w:hAnsi="宋体" w:cs="宋体"/>
                <w:bCs/>
                <w:color w:val="000000"/>
              </w:rPr>
            </w:pPr>
            <w:r>
              <w:rPr>
                <w:rFonts w:hint="eastAsia" w:ascii="宋体" w:hAnsi="宋体" w:cs="宋体"/>
                <w:bCs/>
                <w:color w:val="000000"/>
              </w:rPr>
              <w:t>2.</w:t>
            </w:r>
            <w:r>
              <w:rPr>
                <w:rFonts w:hint="eastAsia"/>
                <w:szCs w:val="21"/>
              </w:rPr>
              <w:t>熙维</w:t>
            </w:r>
          </w:p>
        </w:tc>
        <w:tc>
          <w:tcPr>
            <w:tcW w:w="6093" w:type="dxa"/>
            <w:vAlign w:val="center"/>
          </w:tcPr>
          <w:p>
            <w:pPr>
              <w:adjustRightInd w:val="0"/>
              <w:snapToGrid w:val="0"/>
              <w:rPr>
                <w:szCs w:val="21"/>
              </w:rPr>
            </w:pPr>
            <w:r>
              <w:rPr>
                <w:rFonts w:hint="eastAsia"/>
                <w:szCs w:val="21"/>
              </w:rPr>
              <w:t>熙维于</w:t>
            </w:r>
            <w:r>
              <w:rPr>
                <w:szCs w:val="21"/>
              </w:rPr>
              <w:t>2008</w:t>
            </w:r>
            <w:r>
              <w:rPr>
                <w:rFonts w:hint="eastAsia"/>
                <w:szCs w:val="21"/>
              </w:rPr>
              <w:t>年</w:t>
            </w:r>
            <w:r>
              <w:rPr>
                <w:szCs w:val="21"/>
              </w:rPr>
              <w:t>3</w:t>
            </w:r>
            <w:r>
              <w:rPr>
                <w:rFonts w:hint="eastAsia"/>
                <w:szCs w:val="21"/>
              </w:rPr>
              <w:t>月</w:t>
            </w:r>
            <w:r>
              <w:rPr>
                <w:szCs w:val="21"/>
              </w:rPr>
              <w:t>26</w:t>
            </w:r>
            <w:r>
              <w:rPr>
                <w:rFonts w:hint="eastAsia"/>
                <w:szCs w:val="21"/>
              </w:rPr>
              <w:t>日成立于卢森堡，主要业务为投资基金咨询与管理。</w:t>
            </w:r>
          </w:p>
          <w:p>
            <w:pPr>
              <w:adjustRightInd w:val="0"/>
              <w:snapToGrid w:val="0"/>
              <w:rPr>
                <w:szCs w:val="21"/>
              </w:rPr>
            </w:pPr>
            <w:r>
              <w:rPr>
                <w:rFonts w:hint="eastAsia"/>
                <w:szCs w:val="21"/>
              </w:rPr>
              <w:t>熙维没有最终控制人。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40" w:type="dxa"/>
            <w:vMerge w:val="continue"/>
            <w:shd w:val="clear" w:color="auto" w:fill="D9D9D9"/>
            <w:vAlign w:val="center"/>
          </w:tcPr>
          <w:p>
            <w:pPr>
              <w:adjustRightInd w:val="0"/>
              <w:snapToGrid w:val="0"/>
              <w:rPr>
                <w:rFonts w:ascii="宋体" w:hAnsi="宋体" w:cs="宋体"/>
                <w:bCs/>
                <w:color w:val="000000"/>
              </w:rPr>
            </w:pPr>
          </w:p>
        </w:tc>
        <w:tc>
          <w:tcPr>
            <w:tcW w:w="1607" w:type="dxa"/>
            <w:vAlign w:val="center"/>
          </w:tcPr>
          <w:p>
            <w:pPr>
              <w:adjustRightInd w:val="0"/>
              <w:snapToGrid w:val="0"/>
              <w:rPr>
                <w:rFonts w:ascii="宋体" w:hAnsi="宋体" w:cs="宋体"/>
                <w:bCs/>
                <w:color w:val="000000"/>
              </w:rPr>
            </w:pPr>
            <w:r>
              <w:rPr>
                <w:rFonts w:ascii="宋体" w:hAnsi="宋体" w:cs="宋体"/>
                <w:bCs/>
                <w:color w:val="000000"/>
              </w:rPr>
              <w:t>3.</w:t>
            </w:r>
            <w:r>
              <w:rPr>
                <w:rFonts w:hint="eastAsia" w:ascii="宋体" w:hAnsi="宋体" w:cs="宋体"/>
                <w:bCs/>
                <w:color w:val="000000"/>
              </w:rPr>
              <w:t>加利集团</w:t>
            </w:r>
          </w:p>
        </w:tc>
        <w:tc>
          <w:tcPr>
            <w:tcW w:w="6093" w:type="dxa"/>
            <w:vAlign w:val="center"/>
          </w:tcPr>
          <w:p>
            <w:pPr>
              <w:adjustRightInd w:val="0"/>
              <w:snapToGrid w:val="0"/>
              <w:rPr>
                <w:szCs w:val="21"/>
              </w:rPr>
            </w:pPr>
            <w:r>
              <w:rPr>
                <w:rFonts w:hint="eastAsia"/>
                <w:szCs w:val="21"/>
              </w:rPr>
              <w:t>加利集团于2015年12月11日成立于瑞典，为纳斯达克斯德哥尔摩证券交易所上市公司，主要业务为在部分欧洲经济区国家境内提供汽车玻璃维修更换服务和汽车维修保养服务。</w:t>
            </w:r>
          </w:p>
          <w:p>
            <w:pPr>
              <w:adjustRightInd w:val="0"/>
              <w:snapToGrid w:val="0"/>
              <w:rPr>
                <w:szCs w:val="21"/>
              </w:rPr>
            </w:pPr>
            <w:r>
              <w:rPr>
                <w:rFonts w:hint="eastAsia"/>
                <w:szCs w:val="21"/>
              </w:rPr>
              <w:t>加利集团没有最终控制人。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940" w:type="dxa"/>
            <w:vMerge w:val="restart"/>
            <w:shd w:val="clear" w:color="auto" w:fill="D9D9D9"/>
            <w:vAlign w:val="center"/>
          </w:tcPr>
          <w:p>
            <w:pPr>
              <w:adjustRightInd w:val="0"/>
              <w:snapToGrid w:val="0"/>
              <w:rPr>
                <w:rFonts w:ascii="宋体" w:hAnsi="宋体" w:cs="宋体"/>
                <w:bCs/>
                <w:color w:val="000000"/>
              </w:rPr>
            </w:pPr>
            <w:r>
              <w:rPr>
                <w:rFonts w:hint="eastAsia" w:ascii="宋体" w:hAnsi="宋体" w:cs="宋体"/>
                <w:bCs/>
                <w:color w:val="000000"/>
              </w:rPr>
              <w:t>简易案件理由（可以单选，也可以多选）</w:t>
            </w:r>
          </w:p>
        </w:tc>
        <w:tc>
          <w:tcPr>
            <w:tcW w:w="7700" w:type="dxa"/>
            <w:gridSpan w:val="2"/>
            <w:vAlign w:val="center"/>
          </w:tcPr>
          <w:p>
            <w:pPr>
              <w:adjustRightInd w:val="0"/>
              <w:snapToGrid w:val="0"/>
              <w:rPr>
                <w:rFonts w:ascii="宋体" w:hAnsi="宋体" w:cs="宋体"/>
                <w:bCs/>
                <w:color w:val="000000"/>
              </w:rPr>
            </w:pPr>
            <w:r>
              <w:rPr>
                <w:rFonts w:hint="eastAsia" w:ascii="宋体" w:hAnsi="宋体" w:cs="宋体"/>
                <w:bCs/>
                <w:color w:val="000000"/>
              </w:rPr>
              <w:sym w:font="Wingdings" w:char="00A8"/>
            </w:r>
            <w:r>
              <w:rPr>
                <w:rFonts w:hint="eastAsia" w:ascii="宋体" w:hAnsi="宋体" w:cs="宋体"/>
                <w:bCs/>
                <w:color w:val="000000"/>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40" w:type="dxa"/>
            <w:vMerge w:val="continue"/>
            <w:shd w:val="clear" w:color="auto" w:fill="D9D9D9"/>
            <w:vAlign w:val="center"/>
          </w:tcPr>
          <w:p>
            <w:pPr>
              <w:adjustRightInd w:val="0"/>
              <w:snapToGrid w:val="0"/>
              <w:rPr>
                <w:rFonts w:ascii="宋体" w:hAnsi="宋体" w:cs="宋体"/>
                <w:bCs/>
                <w:color w:val="000000"/>
              </w:rPr>
            </w:pPr>
          </w:p>
        </w:tc>
        <w:tc>
          <w:tcPr>
            <w:tcW w:w="7700" w:type="dxa"/>
            <w:gridSpan w:val="2"/>
            <w:vAlign w:val="center"/>
          </w:tcPr>
          <w:p>
            <w:pPr>
              <w:adjustRightInd w:val="0"/>
              <w:snapToGrid w:val="0"/>
              <w:rPr>
                <w:rFonts w:ascii="宋体" w:hAnsi="宋体" w:cs="宋体"/>
                <w:bCs/>
                <w:color w:val="000000"/>
              </w:rPr>
            </w:pPr>
            <w:r>
              <w:rPr>
                <w:rFonts w:hint="eastAsia" w:ascii="宋体" w:hAnsi="宋体" w:cs="宋体"/>
                <w:bCs/>
                <w:color w:val="000000"/>
              </w:rPr>
              <w:sym w:font="Wingdings" w:char="00A8"/>
            </w:r>
            <w:r>
              <w:rPr>
                <w:rFonts w:hint="eastAsia" w:ascii="宋体" w:hAnsi="宋体" w:cs="宋体"/>
                <w:bCs/>
                <w:color w:val="000000"/>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40" w:type="dxa"/>
            <w:vMerge w:val="continue"/>
            <w:shd w:val="clear" w:color="auto" w:fill="D9D9D9"/>
            <w:vAlign w:val="center"/>
          </w:tcPr>
          <w:p>
            <w:pPr>
              <w:adjustRightInd w:val="0"/>
              <w:snapToGrid w:val="0"/>
              <w:rPr>
                <w:rFonts w:ascii="宋体" w:hAnsi="宋体" w:cs="宋体"/>
                <w:bCs/>
                <w:color w:val="000000"/>
              </w:rPr>
            </w:pPr>
          </w:p>
        </w:tc>
        <w:tc>
          <w:tcPr>
            <w:tcW w:w="7700" w:type="dxa"/>
            <w:gridSpan w:val="2"/>
            <w:vAlign w:val="center"/>
          </w:tcPr>
          <w:p>
            <w:pPr>
              <w:adjustRightInd w:val="0"/>
              <w:snapToGrid w:val="0"/>
              <w:rPr>
                <w:rFonts w:ascii="宋体" w:hAnsi="宋体" w:cs="宋体"/>
                <w:bCs/>
                <w:color w:val="000000"/>
              </w:rPr>
            </w:pPr>
            <w:r>
              <w:rPr>
                <w:rFonts w:hint="eastAsia" w:ascii="宋体" w:hAnsi="宋体" w:cs="宋体"/>
                <w:bCs/>
                <w:color w:val="000000"/>
              </w:rPr>
              <w:sym w:font="Wingdings" w:char="00A8"/>
            </w:r>
            <w:r>
              <w:rPr>
                <w:rFonts w:hint="eastAsia" w:ascii="宋体" w:hAnsi="宋体" w:cs="宋体"/>
                <w:bCs/>
                <w:color w:val="000000"/>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40" w:type="dxa"/>
            <w:vMerge w:val="continue"/>
            <w:shd w:val="clear" w:color="auto" w:fill="D9D9D9"/>
            <w:vAlign w:val="center"/>
          </w:tcPr>
          <w:p>
            <w:pPr>
              <w:adjustRightInd w:val="0"/>
              <w:snapToGrid w:val="0"/>
              <w:rPr>
                <w:rFonts w:ascii="宋体" w:hAnsi="宋体" w:cs="宋体"/>
                <w:bCs/>
                <w:color w:val="000000"/>
              </w:rPr>
            </w:pPr>
          </w:p>
        </w:tc>
        <w:tc>
          <w:tcPr>
            <w:tcW w:w="7700" w:type="dxa"/>
            <w:gridSpan w:val="2"/>
            <w:vAlign w:val="center"/>
          </w:tcPr>
          <w:p>
            <w:pPr>
              <w:adjustRightInd w:val="0"/>
              <w:snapToGrid w:val="0"/>
              <w:rPr>
                <w:rFonts w:ascii="宋体" w:hAnsi="宋体" w:cs="宋体"/>
                <w:bCs/>
                <w:color w:val="000000"/>
              </w:rPr>
            </w:pPr>
            <w:r>
              <w:rPr>
                <w:rFonts w:hint="eastAsia" w:ascii="宋体" w:hAnsi="宋体" w:cs="宋体"/>
                <w:bCs/>
                <w:color w:val="000000"/>
              </w:rPr>
              <w:sym w:font="Wingdings" w:char="00A8"/>
            </w:r>
            <w:r>
              <w:rPr>
                <w:rFonts w:hint="eastAsia" w:ascii="宋体" w:hAnsi="宋体" w:cs="宋体"/>
                <w:bCs/>
                <w:color w:val="000000"/>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940" w:type="dxa"/>
            <w:vMerge w:val="continue"/>
            <w:shd w:val="clear" w:color="auto" w:fill="D9D9D9"/>
            <w:vAlign w:val="center"/>
          </w:tcPr>
          <w:p>
            <w:pPr>
              <w:adjustRightInd w:val="0"/>
              <w:snapToGrid w:val="0"/>
              <w:rPr>
                <w:rFonts w:ascii="宋体" w:hAnsi="宋体" w:cs="宋体"/>
                <w:bCs/>
                <w:color w:val="000000"/>
              </w:rPr>
            </w:pPr>
          </w:p>
        </w:tc>
        <w:tc>
          <w:tcPr>
            <w:tcW w:w="7700" w:type="dxa"/>
            <w:gridSpan w:val="2"/>
            <w:vAlign w:val="center"/>
          </w:tcPr>
          <w:p>
            <w:pPr>
              <w:adjustRightInd w:val="0"/>
              <w:snapToGrid w:val="0"/>
              <w:rPr>
                <w:rFonts w:ascii="宋体" w:hAnsi="宋体" w:cs="宋体"/>
                <w:bCs/>
                <w:color w:val="000000"/>
              </w:rPr>
            </w:pPr>
            <w:r>
              <w:rPr>
                <w:rFonts w:hint="eastAsia" w:ascii="宋体" w:hAnsi="宋体" w:cs="宋体"/>
                <w:bCs/>
                <w:color w:val="000000"/>
              </w:rPr>
              <w:sym w:font="Wingdings" w:char="00FE"/>
            </w:r>
            <w:r>
              <w:rPr>
                <w:rFonts w:hint="eastAsia" w:ascii="宋体" w:hAnsi="宋体" w:cs="宋体"/>
                <w:bCs/>
                <w:color w:val="000000"/>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40" w:type="dxa"/>
            <w:vMerge w:val="continue"/>
            <w:shd w:val="clear" w:color="auto" w:fill="D9D9D9"/>
            <w:vAlign w:val="center"/>
          </w:tcPr>
          <w:p>
            <w:pPr>
              <w:adjustRightInd w:val="0"/>
              <w:snapToGrid w:val="0"/>
              <w:rPr>
                <w:rFonts w:ascii="宋体" w:hAnsi="宋体" w:cs="宋体"/>
                <w:bCs/>
                <w:color w:val="000000"/>
              </w:rPr>
            </w:pPr>
          </w:p>
        </w:tc>
        <w:tc>
          <w:tcPr>
            <w:tcW w:w="7700" w:type="dxa"/>
            <w:gridSpan w:val="2"/>
            <w:vAlign w:val="center"/>
          </w:tcPr>
          <w:p>
            <w:pPr>
              <w:adjustRightInd w:val="0"/>
              <w:snapToGrid w:val="0"/>
              <w:rPr>
                <w:rFonts w:ascii="宋体" w:hAnsi="宋体" w:cs="宋体"/>
                <w:bCs/>
                <w:color w:val="000000"/>
              </w:rPr>
            </w:pPr>
            <w:r>
              <w:rPr>
                <w:rFonts w:hint="eastAsia" w:ascii="宋体" w:hAnsi="宋体" w:cs="宋体"/>
                <w:bCs/>
                <w:color w:val="000000"/>
              </w:rPr>
              <w:sym w:font="Wingdings" w:char="00A8"/>
            </w:r>
            <w:r>
              <w:rPr>
                <w:rFonts w:hint="eastAsia" w:ascii="宋体" w:hAnsi="宋体" w:cs="宋体"/>
                <w:bCs/>
                <w:color w:val="000000"/>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940" w:type="dxa"/>
            <w:shd w:val="clear" w:color="auto" w:fill="D9D9D9"/>
            <w:vAlign w:val="center"/>
          </w:tcPr>
          <w:p>
            <w:pPr>
              <w:adjustRightInd w:val="0"/>
              <w:snapToGrid w:val="0"/>
              <w:rPr>
                <w:rFonts w:ascii="宋体" w:hAnsi="宋体" w:cs="宋体"/>
                <w:bCs/>
                <w:color w:val="000000"/>
              </w:rPr>
            </w:pPr>
            <w:r>
              <w:rPr>
                <w:rFonts w:hint="eastAsia" w:ascii="宋体" w:hAnsi="宋体" w:cs="宋体"/>
                <w:bCs/>
                <w:color w:val="000000"/>
              </w:rPr>
              <w:t>备注</w:t>
            </w:r>
          </w:p>
        </w:tc>
        <w:tc>
          <w:tcPr>
            <w:tcW w:w="7700" w:type="dxa"/>
            <w:gridSpan w:val="2"/>
            <w:vAlign w:val="center"/>
          </w:tcPr>
          <w:p>
            <w:pPr>
              <w:adjustRightInd w:val="0"/>
              <w:snapToGrid w:val="0"/>
              <w:rPr>
                <w:szCs w:val="21"/>
              </w:rPr>
            </w:pPr>
            <w:r>
              <w:rPr>
                <w:szCs w:val="21"/>
              </w:rPr>
              <w:t>申报方申请简易案件的理由是基于第5项时，</w:t>
            </w:r>
            <w:r>
              <w:rPr>
                <w:rFonts w:hint="eastAsia"/>
                <w:szCs w:val="21"/>
              </w:rPr>
              <w:t>因此</w:t>
            </w:r>
            <w:r>
              <w:rPr>
                <w:szCs w:val="21"/>
              </w:rPr>
              <w:t>无须在备注中说明相关市场和市场份额</w:t>
            </w:r>
            <w:r>
              <w:rPr>
                <w:rFonts w:hint="eastAsia"/>
                <w:szCs w:val="21"/>
              </w:rPr>
              <w:t>。</w:t>
            </w:r>
          </w:p>
        </w:tc>
      </w:tr>
    </w:tbl>
    <w:p>
      <w:pPr>
        <w:rPr>
          <w:lang w:val="zh-CN"/>
        </w:rPr>
      </w:pPr>
      <w:bookmarkStart w:id="0" w:name="_cp_blt_2_465"/>
      <w:bookmarkEnd w:id="0"/>
    </w:p>
    <w:sectPr>
      <w:headerReference r:id="rId3" w:type="default"/>
      <w:footerReference r:id="rId4" w:type="default"/>
      <w:endnotePr>
        <w:numFmt w:val="decimal"/>
      </w:end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imes">
    <w:altName w:val="Nimbus Roman No9 L"/>
    <w:panose1 w:val="02020603050405020304"/>
    <w:charset w:val="00"/>
    <w:family w:val="roma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0NzAyMTEzMTQxMTJQ0lEKTi0uzszPAykwqQUAohAvGSwAAAA="/>
    <w:docVar w:name="OfficeIni" w:val="Shanghai - Baker &amp; McKenzie FenXun - SIMPLIFIED CHINESE (ALL).ini"/>
  </w:docVars>
  <w:rsids>
    <w:rsidRoot w:val="00017741"/>
    <w:rsid w:val="0000184B"/>
    <w:rsid w:val="000123B6"/>
    <w:rsid w:val="00016C2A"/>
    <w:rsid w:val="00017741"/>
    <w:rsid w:val="000259B9"/>
    <w:rsid w:val="00082C93"/>
    <w:rsid w:val="00096C02"/>
    <w:rsid w:val="000D6A8D"/>
    <w:rsid w:val="00135428"/>
    <w:rsid w:val="00153D2A"/>
    <w:rsid w:val="00175615"/>
    <w:rsid w:val="001B6451"/>
    <w:rsid w:val="001C4A68"/>
    <w:rsid w:val="001E707E"/>
    <w:rsid w:val="002351D0"/>
    <w:rsid w:val="00281C49"/>
    <w:rsid w:val="002B549E"/>
    <w:rsid w:val="002F196D"/>
    <w:rsid w:val="00313FEC"/>
    <w:rsid w:val="00324778"/>
    <w:rsid w:val="00341EBC"/>
    <w:rsid w:val="00361219"/>
    <w:rsid w:val="003B428A"/>
    <w:rsid w:val="003B6E1E"/>
    <w:rsid w:val="003C2B0D"/>
    <w:rsid w:val="003F4C5F"/>
    <w:rsid w:val="0041294F"/>
    <w:rsid w:val="00444A72"/>
    <w:rsid w:val="0047305D"/>
    <w:rsid w:val="0047543C"/>
    <w:rsid w:val="00493FE0"/>
    <w:rsid w:val="004B7297"/>
    <w:rsid w:val="004C002A"/>
    <w:rsid w:val="00501883"/>
    <w:rsid w:val="00524C31"/>
    <w:rsid w:val="00561B9A"/>
    <w:rsid w:val="0058413B"/>
    <w:rsid w:val="0059782C"/>
    <w:rsid w:val="005A24A1"/>
    <w:rsid w:val="006026B4"/>
    <w:rsid w:val="00630DD7"/>
    <w:rsid w:val="006336E2"/>
    <w:rsid w:val="00660036"/>
    <w:rsid w:val="00662F0E"/>
    <w:rsid w:val="0067782D"/>
    <w:rsid w:val="00692D56"/>
    <w:rsid w:val="006D376B"/>
    <w:rsid w:val="006D54C1"/>
    <w:rsid w:val="006E50B6"/>
    <w:rsid w:val="007315B8"/>
    <w:rsid w:val="00737AA0"/>
    <w:rsid w:val="007972DB"/>
    <w:rsid w:val="007C4B3A"/>
    <w:rsid w:val="00854DCA"/>
    <w:rsid w:val="00883948"/>
    <w:rsid w:val="008C31BA"/>
    <w:rsid w:val="008D052B"/>
    <w:rsid w:val="008D5D93"/>
    <w:rsid w:val="008F39FE"/>
    <w:rsid w:val="009103E6"/>
    <w:rsid w:val="0093501E"/>
    <w:rsid w:val="00950141"/>
    <w:rsid w:val="00951B19"/>
    <w:rsid w:val="00953AFC"/>
    <w:rsid w:val="009724AC"/>
    <w:rsid w:val="00991D6B"/>
    <w:rsid w:val="009968E0"/>
    <w:rsid w:val="009A1259"/>
    <w:rsid w:val="009A2CED"/>
    <w:rsid w:val="009C173A"/>
    <w:rsid w:val="009D4707"/>
    <w:rsid w:val="009E0C40"/>
    <w:rsid w:val="009F65D1"/>
    <w:rsid w:val="00A8162E"/>
    <w:rsid w:val="00A979D5"/>
    <w:rsid w:val="00AB0A5A"/>
    <w:rsid w:val="00B0406F"/>
    <w:rsid w:val="00B05839"/>
    <w:rsid w:val="00B31EE9"/>
    <w:rsid w:val="00B54A09"/>
    <w:rsid w:val="00B6062F"/>
    <w:rsid w:val="00B97D43"/>
    <w:rsid w:val="00C07438"/>
    <w:rsid w:val="00C2591B"/>
    <w:rsid w:val="00C707DD"/>
    <w:rsid w:val="00C721F0"/>
    <w:rsid w:val="00C85933"/>
    <w:rsid w:val="00C910A9"/>
    <w:rsid w:val="00CC25EC"/>
    <w:rsid w:val="00CC5B23"/>
    <w:rsid w:val="00CE2C51"/>
    <w:rsid w:val="00D057CC"/>
    <w:rsid w:val="00D3065B"/>
    <w:rsid w:val="00D31FAD"/>
    <w:rsid w:val="00D35338"/>
    <w:rsid w:val="00D55967"/>
    <w:rsid w:val="00D81111"/>
    <w:rsid w:val="00D926A1"/>
    <w:rsid w:val="00D92C82"/>
    <w:rsid w:val="00E05E31"/>
    <w:rsid w:val="00E3261C"/>
    <w:rsid w:val="00E52E07"/>
    <w:rsid w:val="00E553D2"/>
    <w:rsid w:val="00EC334D"/>
    <w:rsid w:val="00F576EC"/>
    <w:rsid w:val="00F57DDE"/>
    <w:rsid w:val="00F76066"/>
    <w:rsid w:val="00F8530B"/>
    <w:rsid w:val="00F95D43"/>
    <w:rsid w:val="00FC4535"/>
    <w:rsid w:val="00FC55D2"/>
    <w:rsid w:val="7BF12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spacing w:after="120"/>
    </w:pPr>
  </w:style>
  <w:style w:type="paragraph" w:styleId="3">
    <w:name w:val="Balloon Text"/>
    <w:basedOn w:val="1"/>
    <w:link w:val="11"/>
    <w:qFormat/>
    <w:uiPriority w:val="0"/>
    <w:rPr>
      <w:sz w:val="18"/>
      <w:szCs w:val="18"/>
      <w:lang w:val="zh-CN" w:eastAsia="zh-CN"/>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Header Char"/>
    <w:basedOn w:val="7"/>
    <w:link w:val="5"/>
    <w:qFormat/>
    <w:uiPriority w:val="99"/>
    <w:rPr>
      <w:rFonts w:ascii="Times New Roman" w:hAnsi="Times New Roman" w:eastAsia="宋体" w:cs="Times New Roman"/>
      <w:sz w:val="18"/>
      <w:szCs w:val="18"/>
    </w:rPr>
  </w:style>
  <w:style w:type="character" w:customStyle="1" w:styleId="9">
    <w:name w:val="Footer Char"/>
    <w:basedOn w:val="7"/>
    <w:link w:val="4"/>
    <w:qFormat/>
    <w:uiPriority w:val="99"/>
    <w:rPr>
      <w:rFonts w:ascii="Times New Roman" w:hAnsi="Times New Roman" w:eastAsia="宋体" w:cs="Times New Roman"/>
      <w:sz w:val="18"/>
      <w:szCs w:val="18"/>
    </w:rPr>
  </w:style>
  <w:style w:type="character" w:customStyle="1" w:styleId="10">
    <w:name w:val="Body Text Char"/>
    <w:basedOn w:val="7"/>
    <w:link w:val="2"/>
    <w:qFormat/>
    <w:uiPriority w:val="0"/>
    <w:rPr>
      <w:rFonts w:ascii="Times New Roman" w:hAnsi="Times New Roman" w:eastAsia="宋体" w:cs="Times New Roman"/>
      <w:szCs w:val="24"/>
    </w:rPr>
  </w:style>
  <w:style w:type="character" w:customStyle="1" w:styleId="11">
    <w:name w:val="Balloon Text Char"/>
    <w:basedOn w:val="7"/>
    <w:link w:val="3"/>
    <w:qFormat/>
    <w:uiPriority w:val="0"/>
    <w:rPr>
      <w:rFonts w:ascii="Times New Roman" w:hAnsi="Times New Roman" w:eastAsia="宋体" w:cs="Times New Roman"/>
      <w:sz w:val="18"/>
      <w:szCs w:val="18"/>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135</Words>
  <Characters>772</Characters>
  <Lines>6</Lines>
  <Paragraphs>1</Paragraphs>
  <TotalTime>0</TotalTime>
  <ScaleCrop>false</ScaleCrop>
  <LinksUpToDate>false</LinksUpToDate>
  <CharactersWithSpaces>906</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2022-07-19T17:36:00Z</dcterms:created>
  <dc:creator>FenXun Partners</dc:creator>
  <cp:lastModifiedBy>oa</cp:lastModifiedBy>
  <cp:lastPrinted>2019-06-21T18:07:00Z</cp:lastPrinted>
  <dcterms:modified xsi:type="dcterms:W3CDTF">2022-07-21T10:15:59Z</dcterms:modified>
  <dc:title>经营者集中简易案件公示表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