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hint="eastAsia" w:ascii="Times New Roman" w:hAnsi="Times New Roman"/>
          <w:b/>
          <w:szCs w:val="21"/>
        </w:rPr>
      </w:pPr>
    </w:p>
    <w:p>
      <w:pPr>
        <w:spacing w:line="440" w:lineRule="exact"/>
        <w:jc w:val="center"/>
        <w:rPr>
          <w:rFonts w:ascii="黑体" w:hAnsi="Times New Roman" w:eastAsia="黑体"/>
          <w:sz w:val="36"/>
          <w:szCs w:val="36"/>
        </w:rPr>
      </w:pPr>
      <w:r>
        <w:rPr>
          <w:rFonts w:hint="eastAsia" w:ascii="黑体" w:hAnsi="Times New Roman" w:eastAsia="黑体"/>
          <w:sz w:val="36"/>
          <w:szCs w:val="36"/>
        </w:rPr>
        <w:t>经营者集中简易案件公示表</w:t>
      </w:r>
    </w:p>
    <w:p>
      <w:pPr>
        <w:spacing w:line="440" w:lineRule="exact"/>
        <w:rPr>
          <w:rFonts w:ascii="黑体" w:hAnsi="Times New Roman" w:eastAsia="黑体"/>
          <w:sz w:val="28"/>
          <w:szCs w:val="28"/>
        </w:rPr>
      </w:pPr>
    </w:p>
    <w:p>
      <w:pPr>
        <w:spacing w:line="440" w:lineRule="exact"/>
        <w:ind w:firstLine="845" w:firstLineChars="302"/>
        <w:rPr>
          <w:rFonts w:ascii="仿宋_GB2312" w:hAnsi="Times New Roman" w:eastAsia="仿宋_GB2312"/>
          <w:sz w:val="28"/>
          <w:szCs w:val="28"/>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案件名称</w:t>
            </w:r>
          </w:p>
        </w:tc>
        <w:tc>
          <w:tcPr>
            <w:tcW w:w="6949" w:type="dxa"/>
            <w:gridSpan w:val="2"/>
            <w:vAlign w:val="center"/>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北京北汽鹏龙汽车服务贸易股份有限公司与安徽瑞英行投资管理有限公司拟新设合营企业案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交易概况</w:t>
            </w:r>
          </w:p>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（限200字内）</w:t>
            </w:r>
          </w:p>
        </w:tc>
        <w:tc>
          <w:tcPr>
            <w:tcW w:w="6949" w:type="dxa"/>
            <w:gridSpan w:val="2"/>
            <w:vAlign w:val="center"/>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北京北汽鹏龙汽车服务贸易股份有限公司与安徽瑞英行投资管理有限公司于</w:t>
            </w:r>
            <w:r>
              <w:rPr>
                <w:rFonts w:ascii="宋体" w:hAnsi="宋体" w:cs="宋体"/>
                <w:color w:val="333333"/>
                <w:kern w:val="0"/>
                <w:sz w:val="24"/>
                <w:szCs w:val="24"/>
              </w:rPr>
              <w:t>20</w:t>
            </w:r>
            <w:r>
              <w:rPr>
                <w:rFonts w:hint="eastAsia" w:ascii="宋体" w:hAnsi="宋体" w:cs="宋体"/>
                <w:color w:val="333333"/>
                <w:kern w:val="0"/>
                <w:sz w:val="24"/>
                <w:szCs w:val="24"/>
              </w:rPr>
              <w:t>2</w:t>
            </w:r>
            <w:r>
              <w:rPr>
                <w:rFonts w:ascii="宋体" w:hAnsi="宋体" w:cs="宋体"/>
                <w:color w:val="333333"/>
                <w:kern w:val="0"/>
                <w:sz w:val="24"/>
                <w:szCs w:val="24"/>
              </w:rPr>
              <w:t>2</w:t>
            </w:r>
            <w:r>
              <w:rPr>
                <w:rFonts w:hint="eastAsia" w:ascii="宋体" w:hAnsi="宋体" w:cs="宋体"/>
                <w:color w:val="333333"/>
                <w:kern w:val="0"/>
                <w:sz w:val="24"/>
                <w:szCs w:val="24"/>
              </w:rPr>
              <w:t>年签署出资协议，拟共同新设合营企业安庆鹏龙融富汽车销售服务有限公司（拟定名），从事奔驰乘用车销售及售后服务业务。新设企业中，北汽鹏龙占股</w:t>
            </w:r>
            <w:r>
              <w:rPr>
                <w:rFonts w:ascii="宋体" w:hAnsi="宋体" w:cs="宋体"/>
                <w:color w:val="333333"/>
                <w:kern w:val="0"/>
                <w:sz w:val="24"/>
                <w:szCs w:val="24"/>
              </w:rPr>
              <w:t>70%</w:t>
            </w:r>
            <w:r>
              <w:rPr>
                <w:rFonts w:hint="eastAsia" w:ascii="宋体" w:hAnsi="宋体" w:cs="宋体"/>
                <w:color w:val="333333"/>
                <w:kern w:val="0"/>
                <w:sz w:val="24"/>
                <w:szCs w:val="24"/>
              </w:rPr>
              <w:t>；安徽瑞英行</w:t>
            </w:r>
            <w:bookmarkStart w:id="0" w:name="_GoBack"/>
            <w:bookmarkEnd w:id="0"/>
            <w:r>
              <w:rPr>
                <w:rFonts w:hint="eastAsia" w:ascii="宋体" w:hAnsi="宋体" w:cs="宋体"/>
                <w:color w:val="333333"/>
                <w:kern w:val="0"/>
                <w:sz w:val="24"/>
                <w:szCs w:val="24"/>
              </w:rPr>
              <w:t>出占股</w:t>
            </w:r>
            <w:r>
              <w:rPr>
                <w:rFonts w:ascii="宋体" w:hAnsi="宋体" w:cs="宋体"/>
                <w:color w:val="333333"/>
                <w:kern w:val="0"/>
                <w:sz w:val="24"/>
                <w:szCs w:val="24"/>
              </w:rPr>
              <w:t>30%</w:t>
            </w:r>
            <w:r>
              <w:rPr>
                <w:rFonts w:hint="eastAsia" w:ascii="宋体" w:hAnsi="宋体" w:cs="宋体"/>
                <w:color w:val="333333"/>
                <w:kern w:val="0"/>
                <w:sz w:val="24"/>
                <w:szCs w:val="24"/>
              </w:rPr>
              <w:t>，双方构成共同控制。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参与集中的</w:t>
            </w:r>
          </w:p>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经营者简介</w:t>
            </w:r>
          </w:p>
        </w:tc>
        <w:tc>
          <w:tcPr>
            <w:tcW w:w="1796" w:type="dxa"/>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北京北汽鹏龙汽车服务贸易股份有限公司</w:t>
            </w:r>
          </w:p>
        </w:tc>
        <w:tc>
          <w:tcPr>
            <w:tcW w:w="5153" w:type="dxa"/>
          </w:tcPr>
          <w:p>
            <w:pPr>
              <w:spacing w:line="500" w:lineRule="exact"/>
              <w:rPr>
                <w:rFonts w:ascii="宋体" w:hAnsi="宋体" w:cs="宋体"/>
                <w:color w:val="333333"/>
                <w:kern w:val="0"/>
                <w:sz w:val="24"/>
                <w:szCs w:val="24"/>
              </w:rPr>
            </w:pPr>
            <w:r>
              <w:rPr>
                <w:rFonts w:ascii="宋体" w:hAnsi="宋体" w:cs="宋体"/>
                <w:color w:val="333333"/>
                <w:kern w:val="0"/>
                <w:sz w:val="24"/>
                <w:szCs w:val="24"/>
              </w:rPr>
              <w:t>2010年1月8日</w:t>
            </w:r>
            <w:r>
              <w:rPr>
                <w:rFonts w:hint="eastAsia" w:ascii="宋体" w:hAnsi="宋体" w:cs="宋体"/>
                <w:color w:val="333333"/>
                <w:kern w:val="0"/>
                <w:sz w:val="24"/>
                <w:szCs w:val="24"/>
              </w:rPr>
              <w:t>成立于北京。主要从事品牌汽车经销及相关服务，汽车物流业务。</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最终控制人为北汽集团。北汽集团主要从事整车及零配件的设计、研发、制造、汽车服务贸易、综合出行服务、金融投资及通用航空业务。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1796" w:type="dxa"/>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安徽瑞英行投资管理有限公司</w:t>
            </w:r>
          </w:p>
        </w:tc>
        <w:tc>
          <w:tcPr>
            <w:tcW w:w="5153" w:type="dxa"/>
            <w:vAlign w:val="center"/>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2010年4月12日成立于合肥市。主要从事品牌汽车销售、售后服务、二手车、汽车装饰、汽车金融服务。</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最终控制人为自然人。该自然人主要从事品牌汽车销售、售后服务、二手车销售、汽车装饰、汽车金融服务、金融投资业务。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简易案件理由（可以单选，也可以多选）</w:t>
            </w: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sym w:font="Wingdings" w:char="00A8"/>
            </w:r>
            <w:r>
              <w:rPr>
                <w:rFonts w:hint="eastAsia" w:ascii="宋体" w:hAnsi="宋体"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sym w:font="Wingdings" w:char="F0FE"/>
            </w:r>
            <w:r>
              <w:rPr>
                <w:rFonts w:hint="eastAsia" w:ascii="宋体" w:hAnsi="宋体"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ascii="宋体" w:hAnsi="宋体" w:cs="宋体"/>
                <w:color w:val="333333"/>
                <w:kern w:val="0"/>
                <w:sz w:val="24"/>
                <w:szCs w:val="24"/>
              </w:rPr>
            </w:pPr>
          </w:p>
        </w:tc>
        <w:tc>
          <w:tcPr>
            <w:tcW w:w="6949" w:type="dxa"/>
            <w:gridSpan w:val="2"/>
          </w:tcPr>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ascii="宋体" w:hAnsi="宋体" w:cs="宋体"/>
                <w:color w:val="333333"/>
                <w:kern w:val="0"/>
                <w:sz w:val="24"/>
                <w:szCs w:val="24"/>
              </w:rPr>
            </w:pPr>
            <w:r>
              <w:rPr>
                <w:rFonts w:hint="eastAsia" w:ascii="宋体" w:hAnsi="宋体" w:cs="宋体"/>
                <w:color w:val="333333"/>
                <w:kern w:val="0"/>
                <w:sz w:val="24"/>
                <w:szCs w:val="24"/>
              </w:rPr>
              <w:t>备注</w:t>
            </w:r>
          </w:p>
        </w:tc>
        <w:tc>
          <w:tcPr>
            <w:tcW w:w="6949" w:type="dxa"/>
            <w:gridSpan w:val="2"/>
          </w:tcPr>
          <w:p>
            <w:pPr>
              <w:spacing w:line="500" w:lineRule="exact"/>
              <w:rPr>
                <w:rFonts w:ascii="宋体" w:hAnsi="宋体" w:cs="宋体"/>
                <w:b/>
                <w:bCs/>
                <w:color w:val="333333"/>
                <w:kern w:val="0"/>
                <w:sz w:val="24"/>
                <w:szCs w:val="24"/>
              </w:rPr>
            </w:pPr>
            <w:r>
              <w:rPr>
                <w:rFonts w:hint="eastAsia" w:ascii="宋体" w:hAnsi="宋体" w:cs="宋体"/>
                <w:b/>
                <w:bCs/>
                <w:color w:val="333333"/>
                <w:kern w:val="0"/>
                <w:sz w:val="24"/>
                <w:szCs w:val="24"/>
              </w:rPr>
              <w:t>纵向关联：</w:t>
            </w:r>
          </w:p>
          <w:p>
            <w:pPr>
              <w:widowControl/>
              <w:snapToGrid/>
              <w:spacing w:line="500" w:lineRule="exact"/>
              <w:rPr>
                <w:rFonts w:hint="default" w:ascii="宋体" w:hAnsi="宋体" w:cs="宋体"/>
                <w:color w:val="333333"/>
                <w:kern w:val="0"/>
                <w:sz w:val="24"/>
                <w:szCs w:val="24"/>
              </w:rPr>
            </w:pPr>
            <w:r>
              <w:rPr>
                <w:rFonts w:hint="eastAsia" w:ascii="宋体" w:hAnsi="宋体" w:cs="宋体"/>
                <w:color w:val="333333"/>
                <w:kern w:val="0"/>
                <w:sz w:val="24"/>
                <w:szCs w:val="24"/>
              </w:rPr>
              <w:t>上游：</w:t>
            </w:r>
            <w:r>
              <w:rPr>
                <w:rFonts w:ascii="宋体" w:hAnsi="宋体" w:cs="宋体"/>
                <w:color w:val="333333"/>
                <w:kern w:val="0"/>
                <w:sz w:val="24"/>
                <w:szCs w:val="24"/>
              </w:rPr>
              <w:t>2021</w:t>
            </w:r>
            <w:r>
              <w:rPr>
                <w:rFonts w:hint="eastAsia" w:ascii="宋体" w:hAnsi="宋体" w:cs="宋体"/>
                <w:color w:val="333333"/>
                <w:kern w:val="0"/>
                <w:sz w:val="24"/>
                <w:szCs w:val="24"/>
              </w:rPr>
              <w:t>年中国豪华品牌乘用车的供应市场</w:t>
            </w:r>
            <w:r>
              <w:rPr>
                <w:rFonts w:hint="default" w:ascii="宋体" w:hAnsi="宋体" w:cs="宋体"/>
                <w:color w:val="333333"/>
                <w:kern w:val="0"/>
                <w:sz w:val="24"/>
                <w:szCs w:val="24"/>
              </w:rPr>
              <w:t>：</w:t>
            </w:r>
            <w:r>
              <w:rPr>
                <w:rFonts w:hint="eastAsia" w:ascii="宋体" w:hAnsi="宋体" w:cs="宋体"/>
                <w:color w:val="333333"/>
                <w:kern w:val="0"/>
                <w:sz w:val="24"/>
                <w:szCs w:val="24"/>
                <w:lang w:bidi="ar-AE"/>
              </w:rPr>
              <w:t>北汽鹏龙[</w:t>
            </w:r>
            <w:r>
              <w:rPr>
                <w:rFonts w:hint="default" w:ascii="宋体" w:hAnsi="宋体" w:cs="宋体"/>
                <w:color w:val="333333"/>
                <w:kern w:val="0"/>
                <w:sz w:val="24"/>
                <w:szCs w:val="24"/>
                <w:lang w:eastAsia="zh-CN"/>
              </w:rPr>
              <w:t>5</w:t>
            </w:r>
            <w:r>
              <w:rPr>
                <w:rFonts w:hint="eastAsia" w:ascii="宋体" w:hAnsi="宋体" w:cs="宋体"/>
                <w:color w:val="333333"/>
                <w:kern w:val="0"/>
                <w:sz w:val="24"/>
                <w:szCs w:val="24"/>
                <w:lang w:bidi="ar-AE"/>
              </w:rPr>
              <w:t>-</w:t>
            </w:r>
            <w:r>
              <w:rPr>
                <w:rFonts w:hint="default" w:ascii="宋体" w:hAnsi="宋体" w:cs="宋体"/>
                <w:color w:val="333333"/>
                <w:kern w:val="0"/>
                <w:sz w:val="24"/>
                <w:szCs w:val="24"/>
                <w:lang w:val="en-US" w:eastAsia="zh-CN"/>
              </w:rPr>
              <w:t>10</w:t>
            </w:r>
            <w:r>
              <w:rPr>
                <w:rFonts w:hint="default" w:ascii="宋体" w:hAnsi="宋体" w:cs="宋体"/>
                <w:color w:val="333333"/>
                <w:kern w:val="0"/>
                <w:sz w:val="24"/>
                <w:szCs w:val="24"/>
                <w:lang w:bidi="ar-AE"/>
              </w:rPr>
              <w:t>]</w:t>
            </w:r>
            <w:r>
              <w:rPr>
                <w:rFonts w:hint="eastAsia" w:ascii="宋体" w:hAnsi="宋体" w:cs="宋体"/>
                <w:color w:val="333333"/>
                <w:kern w:val="0"/>
                <w:sz w:val="24"/>
                <w:szCs w:val="24"/>
                <w:lang w:bidi="ar-AE"/>
              </w:rPr>
              <w:t>%</w:t>
            </w:r>
          </w:p>
          <w:p>
            <w:pPr>
              <w:spacing w:line="500" w:lineRule="exact"/>
              <w:rPr>
                <w:rFonts w:ascii="宋体" w:hAnsi="宋体" w:cs="宋体"/>
                <w:color w:val="333333"/>
                <w:kern w:val="0"/>
                <w:sz w:val="24"/>
                <w:szCs w:val="24"/>
              </w:rPr>
            </w:pPr>
            <w:r>
              <w:rPr>
                <w:rFonts w:hint="eastAsia" w:ascii="宋体" w:hAnsi="宋体" w:cs="宋体"/>
                <w:color w:val="333333"/>
                <w:kern w:val="0"/>
                <w:sz w:val="24"/>
                <w:szCs w:val="24"/>
              </w:rPr>
              <w:t>下游：安庆市豪华品牌乘用车销售市场</w:t>
            </w:r>
            <w:r>
              <w:rPr>
                <w:rFonts w:hint="eastAsia" w:ascii="宋体" w:hAnsi="宋体" w:cs="宋体"/>
                <w:color w:val="333333"/>
                <w:kern w:val="0"/>
                <w:sz w:val="24"/>
                <w:szCs w:val="24"/>
                <w:lang w:eastAsia="zh-CN"/>
              </w:rPr>
              <w:t>：</w:t>
            </w:r>
            <w:r>
              <w:rPr>
                <w:rFonts w:hint="eastAsia" w:ascii="宋体" w:hAnsi="宋体" w:cs="宋体"/>
                <w:color w:val="333333"/>
                <w:kern w:val="0"/>
                <w:sz w:val="24"/>
                <w:szCs w:val="24"/>
              </w:rPr>
              <w:t>合营企业</w:t>
            </w:r>
            <w:r>
              <w:rPr>
                <w:rFonts w:hint="eastAsia" w:ascii="宋体" w:hAnsi="宋体" w:cs="宋体"/>
                <w:color w:val="333333"/>
                <w:kern w:val="0"/>
                <w:sz w:val="24"/>
                <w:szCs w:val="24"/>
                <w:lang w:eastAsia="zh-CN"/>
              </w:rPr>
              <w:t>（预估</w:t>
            </w:r>
            <w:r>
              <w:rPr>
                <w:rFonts w:hint="eastAsia" w:ascii="宋体" w:hAnsi="宋体" w:cs="宋体"/>
                <w:color w:val="333333"/>
                <w:kern w:val="0"/>
                <w:sz w:val="24"/>
                <w:szCs w:val="24"/>
              </w:rPr>
              <w:t>）[</w:t>
            </w:r>
            <w:r>
              <w:rPr>
                <w:rFonts w:ascii="宋体" w:hAnsi="宋体" w:cs="宋体"/>
                <w:color w:val="333333"/>
                <w:kern w:val="0"/>
                <w:sz w:val="24"/>
                <w:szCs w:val="24"/>
              </w:rPr>
              <w:t>10-15]</w:t>
            </w:r>
            <w:r>
              <w:rPr>
                <w:rFonts w:hint="eastAsia" w:ascii="宋体" w:hAnsi="宋体" w:cs="宋体"/>
                <w:color w:val="333333"/>
                <w:kern w:val="0"/>
                <w:sz w:val="24"/>
                <w:szCs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2743A"/>
    <w:rsid w:val="00037065"/>
    <w:rsid w:val="000B1670"/>
    <w:rsid w:val="000C5A2E"/>
    <w:rsid w:val="000D522A"/>
    <w:rsid w:val="000D7EBA"/>
    <w:rsid w:val="001164CD"/>
    <w:rsid w:val="00155717"/>
    <w:rsid w:val="001837A3"/>
    <w:rsid w:val="001B55B8"/>
    <w:rsid w:val="002D5728"/>
    <w:rsid w:val="003A5438"/>
    <w:rsid w:val="003B02A8"/>
    <w:rsid w:val="003C0AEB"/>
    <w:rsid w:val="003D3E93"/>
    <w:rsid w:val="004840F6"/>
    <w:rsid w:val="004970D7"/>
    <w:rsid w:val="004E37A4"/>
    <w:rsid w:val="004F7688"/>
    <w:rsid w:val="00524F5D"/>
    <w:rsid w:val="005345F6"/>
    <w:rsid w:val="005A08A6"/>
    <w:rsid w:val="006057B9"/>
    <w:rsid w:val="00605EF5"/>
    <w:rsid w:val="00613C42"/>
    <w:rsid w:val="00627646"/>
    <w:rsid w:val="006467D8"/>
    <w:rsid w:val="006A31A6"/>
    <w:rsid w:val="006A531B"/>
    <w:rsid w:val="006B7B9E"/>
    <w:rsid w:val="006F7693"/>
    <w:rsid w:val="00710140"/>
    <w:rsid w:val="0075621B"/>
    <w:rsid w:val="00785680"/>
    <w:rsid w:val="007A14D7"/>
    <w:rsid w:val="007D29F4"/>
    <w:rsid w:val="007F2275"/>
    <w:rsid w:val="00820404"/>
    <w:rsid w:val="008A1427"/>
    <w:rsid w:val="008A7012"/>
    <w:rsid w:val="008B6F16"/>
    <w:rsid w:val="00915F0F"/>
    <w:rsid w:val="00917987"/>
    <w:rsid w:val="009532DF"/>
    <w:rsid w:val="00981A1F"/>
    <w:rsid w:val="009849A5"/>
    <w:rsid w:val="00997019"/>
    <w:rsid w:val="009A5029"/>
    <w:rsid w:val="009D38D5"/>
    <w:rsid w:val="00A53F26"/>
    <w:rsid w:val="00AA0CC5"/>
    <w:rsid w:val="00B16AFE"/>
    <w:rsid w:val="00B53775"/>
    <w:rsid w:val="00B53F3A"/>
    <w:rsid w:val="00B65DD5"/>
    <w:rsid w:val="00B70B53"/>
    <w:rsid w:val="00B81057"/>
    <w:rsid w:val="00BD10B6"/>
    <w:rsid w:val="00BD72D5"/>
    <w:rsid w:val="00C01D69"/>
    <w:rsid w:val="00C07076"/>
    <w:rsid w:val="00CB00DF"/>
    <w:rsid w:val="00D73C72"/>
    <w:rsid w:val="00DD7B6E"/>
    <w:rsid w:val="00E0592B"/>
    <w:rsid w:val="00E27E3E"/>
    <w:rsid w:val="00E31738"/>
    <w:rsid w:val="00E86786"/>
    <w:rsid w:val="00ED2F80"/>
    <w:rsid w:val="00F06384"/>
    <w:rsid w:val="00F1624E"/>
    <w:rsid w:val="00F32F8A"/>
    <w:rsid w:val="00F810AA"/>
    <w:rsid w:val="00FB43EC"/>
    <w:rsid w:val="00FB6B40"/>
    <w:rsid w:val="00FC3410"/>
    <w:rsid w:val="25BD2EAA"/>
    <w:rsid w:val="3DDE320D"/>
    <w:rsid w:val="3F4E9FD8"/>
    <w:rsid w:val="3FDFA4DA"/>
    <w:rsid w:val="47BF5305"/>
    <w:rsid w:val="4A265CBF"/>
    <w:rsid w:val="4F7EB90D"/>
    <w:rsid w:val="5DBAA300"/>
    <w:rsid w:val="5DDF953B"/>
    <w:rsid w:val="5FE73CCA"/>
    <w:rsid w:val="6DDE4FD6"/>
    <w:rsid w:val="6DEE1C09"/>
    <w:rsid w:val="6EF760C9"/>
    <w:rsid w:val="73DF6EA2"/>
    <w:rsid w:val="77B8891E"/>
    <w:rsid w:val="77DBAEED"/>
    <w:rsid w:val="77DF812F"/>
    <w:rsid w:val="793C0991"/>
    <w:rsid w:val="79B7D9A6"/>
    <w:rsid w:val="7EF1B516"/>
    <w:rsid w:val="7FBED5A3"/>
    <w:rsid w:val="7FDF49F3"/>
    <w:rsid w:val="7FE72150"/>
    <w:rsid w:val="7FFE75C0"/>
    <w:rsid w:val="B97D91A0"/>
    <w:rsid w:val="BBD7FF27"/>
    <w:rsid w:val="BDC3CC9C"/>
    <w:rsid w:val="CDEDBA1C"/>
    <w:rsid w:val="DE7E2FCE"/>
    <w:rsid w:val="DF5F5894"/>
    <w:rsid w:val="DF777BF6"/>
    <w:rsid w:val="E7DEBB07"/>
    <w:rsid w:val="EFC6D171"/>
    <w:rsid w:val="EFF7E097"/>
    <w:rsid w:val="F77E2060"/>
    <w:rsid w:val="F7B95929"/>
    <w:rsid w:val="F7DAFF9E"/>
    <w:rsid w:val="F9FF91F1"/>
    <w:rsid w:val="FBBE9D1B"/>
    <w:rsid w:val="FF5B437D"/>
    <w:rsid w:val="FFBF8E37"/>
    <w:rsid w:val="FFDBCD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link w:val="12"/>
    <w:semiHidden/>
    <w:unhideWhenUsed/>
    <w:qFormat/>
    <w:uiPriority w:val="99"/>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rFonts w:ascii="Calibri" w:hAnsi="Calibri" w:eastAsia="宋体" w:cs="Times New Roman"/>
      <w:kern w:val="2"/>
      <w:sz w:val="18"/>
      <w:szCs w:val="18"/>
    </w:rPr>
  </w:style>
  <w:style w:type="character" w:customStyle="1" w:styleId="11">
    <w:name w:val="页脚 字符"/>
    <w:basedOn w:val="8"/>
    <w:link w:val="4"/>
    <w:qFormat/>
    <w:uiPriority w:val="99"/>
    <w:rPr>
      <w:rFonts w:ascii="Calibri" w:hAnsi="Calibri" w:eastAsia="宋体" w:cs="Times New Roman"/>
      <w:kern w:val="2"/>
      <w:sz w:val="18"/>
      <w:szCs w:val="18"/>
    </w:rPr>
  </w:style>
  <w:style w:type="character" w:customStyle="1" w:styleId="12">
    <w:name w:val="批注文字 字符"/>
    <w:basedOn w:val="8"/>
    <w:link w:val="3"/>
    <w:semiHidden/>
    <w:qFormat/>
    <w:uiPriority w:val="99"/>
    <w:rPr>
      <w:rFonts w:ascii="Calibri" w:hAnsi="Calibri" w:eastAsia="宋体" w:cs="Times New Roman"/>
      <w:kern w:val="2"/>
      <w:sz w:val="21"/>
      <w:szCs w:val="22"/>
    </w:rPr>
  </w:style>
  <w:style w:type="character" w:customStyle="1" w:styleId="13">
    <w:name w:val="批注主题 字符"/>
    <w:basedOn w:val="12"/>
    <w:link w:val="6"/>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715</Characters>
  <Lines>5</Lines>
  <Paragraphs>1</Paragraphs>
  <TotalTime>0</TotalTime>
  <ScaleCrop>false</ScaleCrop>
  <LinksUpToDate>false</LinksUpToDate>
  <CharactersWithSpaces>839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2022-06-09T10:41:00Z</dcterms:created>
  <dc:creator>陈媚</dc:creator>
  <cp:lastModifiedBy>oa</cp:lastModifiedBy>
  <dcterms:modified xsi:type="dcterms:W3CDTF">2022-06-09T09:23:24Z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