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黑体" w:hAnsi="黑体" w:eastAsia="黑体" w:cs="黑体"/>
          <w:bCs/>
          <w:kern w:val="0"/>
          <w:sz w:val="36"/>
          <w:szCs w:val="36"/>
          <w:lang w:val="en-GB" w:bidi="ar-AE"/>
        </w:rPr>
      </w:pPr>
      <w:bookmarkStart w:id="1" w:name="_GoBack"/>
      <w:bookmarkEnd w:id="1"/>
      <w:r>
        <w:rPr>
          <w:rFonts w:hint="eastAsia" w:ascii="黑体" w:hAnsi="黑体" w:eastAsia="黑体" w:cs="黑体"/>
          <w:bCs/>
          <w:kern w:val="0"/>
          <w:sz w:val="36"/>
          <w:szCs w:val="36"/>
          <w:lang w:val="en-GB" w:bidi="ar-AE"/>
        </w:rPr>
        <w:t>经营者集中简易案件公示表</w:t>
      </w:r>
    </w:p>
    <w:tbl>
      <w:tblPr>
        <w:tblStyle w:val="4"/>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eastAsia="en-GB" w:bidi="ar-AE"/>
              </w:rPr>
            </w:pPr>
            <w:r>
              <w:rPr>
                <w:rFonts w:hint="eastAsia" w:ascii="宋体" w:hAnsi="宋体" w:eastAsia="宋体" w:cs="宋体"/>
                <w:bCs/>
                <w:color w:val="000000"/>
                <w:kern w:val="0"/>
                <w:sz w:val="24"/>
                <w:szCs w:val="24"/>
                <w:lang w:val="en-GB" w:eastAsia="en-GB" w:bidi="ar-AE"/>
              </w:rPr>
              <w:t>案件名称</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中国信达资产管理股份有限公司与中金私募股权投资管理有限公司新设合营企业案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1"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交易概况（限200字内）</w:t>
            </w:r>
          </w:p>
        </w:tc>
        <w:tc>
          <w:tcPr>
            <w:tcW w:w="7700" w:type="dxa"/>
            <w:gridSpan w:val="2"/>
            <w:vAlign w:val="center"/>
          </w:tcPr>
          <w:p>
            <w:pPr>
              <w:adjustRightInd w:val="0"/>
              <w:snapToGrid w:val="0"/>
              <w:rPr>
                <w:rFonts w:ascii="宋体" w:hAnsi="宋体" w:eastAsia="宋体" w:cs="宋体"/>
                <w:kern w:val="0"/>
                <w:sz w:val="24"/>
                <w:szCs w:val="24"/>
                <w:lang w:bidi="ar-AE"/>
              </w:rPr>
            </w:pPr>
            <w:r>
              <w:rPr>
                <w:rFonts w:hint="eastAsia" w:ascii="宋体" w:hAnsi="宋体" w:eastAsia="宋体" w:cs="宋体"/>
                <w:kern w:val="0"/>
                <w:sz w:val="24"/>
                <w:szCs w:val="24"/>
                <w:lang w:bidi="ar-AE"/>
              </w:rPr>
              <w:t>中金私募股权投资管理有限公司（以下简称“</w:t>
            </w:r>
            <w:r>
              <w:rPr>
                <w:rFonts w:hint="eastAsia" w:ascii="宋体" w:hAnsi="宋体" w:eastAsia="宋体" w:cs="宋体"/>
                <w:b/>
                <w:bCs/>
                <w:kern w:val="0"/>
                <w:sz w:val="24"/>
                <w:szCs w:val="24"/>
                <w:lang w:bidi="ar-AE"/>
              </w:rPr>
              <w:t>中金私募</w:t>
            </w:r>
            <w:r>
              <w:rPr>
                <w:rFonts w:hint="eastAsia" w:ascii="宋体" w:hAnsi="宋体" w:eastAsia="宋体" w:cs="宋体"/>
                <w:kern w:val="0"/>
                <w:sz w:val="24"/>
                <w:szCs w:val="24"/>
                <w:lang w:bidi="ar-AE"/>
              </w:rPr>
              <w:t>”）与中国信达资产管理股份有限公司（以下简称“</w:t>
            </w:r>
            <w:r>
              <w:rPr>
                <w:rFonts w:hint="eastAsia" w:ascii="宋体" w:hAnsi="宋体" w:eastAsia="宋体" w:cs="宋体"/>
                <w:b/>
                <w:bCs/>
                <w:kern w:val="0"/>
                <w:sz w:val="24"/>
                <w:szCs w:val="24"/>
                <w:lang w:bidi="ar-AE"/>
              </w:rPr>
              <w:t>中国信达</w:t>
            </w:r>
            <w:r>
              <w:rPr>
                <w:rFonts w:hint="eastAsia" w:ascii="宋体" w:hAnsi="宋体" w:eastAsia="宋体" w:cs="宋体"/>
                <w:kern w:val="0"/>
                <w:sz w:val="24"/>
                <w:szCs w:val="24"/>
                <w:lang w:bidi="ar-AE"/>
              </w:rPr>
              <w:t>”）拟共同出资设立一家合营企业</w:t>
            </w:r>
            <w:r>
              <w:rPr>
                <w:rFonts w:hint="eastAsia" w:ascii="宋体" w:hAnsi="宋体" w:eastAsia="宋体" w:cs="宋体"/>
                <w:kern w:val="0"/>
                <w:sz w:val="24"/>
                <w:szCs w:val="24"/>
                <w:lang w:val="en-GB" w:bidi="ar-AE"/>
              </w:rPr>
              <w:t>（以下简称“</w:t>
            </w:r>
            <w:r>
              <w:rPr>
                <w:rFonts w:hint="eastAsia" w:ascii="宋体" w:hAnsi="宋体" w:eastAsia="宋体" w:cs="宋体"/>
                <w:b/>
                <w:bCs/>
                <w:kern w:val="0"/>
                <w:sz w:val="24"/>
                <w:szCs w:val="24"/>
                <w:lang w:val="en-GB" w:bidi="ar-AE"/>
              </w:rPr>
              <w:t>合营企业</w:t>
            </w:r>
            <w:r>
              <w:rPr>
                <w:rFonts w:hint="eastAsia" w:ascii="宋体" w:hAnsi="宋体" w:eastAsia="宋体" w:cs="宋体"/>
                <w:kern w:val="0"/>
                <w:sz w:val="24"/>
                <w:szCs w:val="24"/>
                <w:lang w:val="en-GB" w:bidi="ar-AE"/>
              </w:rPr>
              <w:t>”）</w:t>
            </w:r>
            <w:r>
              <w:rPr>
                <w:rFonts w:hint="eastAsia" w:ascii="宋体" w:hAnsi="宋体" w:eastAsia="宋体" w:cs="宋体"/>
                <w:kern w:val="0"/>
                <w:sz w:val="24"/>
                <w:szCs w:val="24"/>
                <w:lang w:bidi="ar-AE"/>
              </w:rPr>
              <w:t>。</w:t>
            </w:r>
            <w:bookmarkStart w:id="0" w:name="_Hlk105082038"/>
            <w:r>
              <w:rPr>
                <w:rFonts w:hint="eastAsia" w:ascii="宋体" w:hAnsi="宋体" w:eastAsia="宋体" w:cs="宋体"/>
                <w:kern w:val="0"/>
                <w:sz w:val="24"/>
                <w:szCs w:val="24"/>
                <w:lang w:bidi="ar-AE"/>
              </w:rPr>
              <w:t>中金私募持有合营企业1%的股权，中国信达直接及间接合计持有合营企业</w:t>
            </w:r>
            <w:r>
              <w:rPr>
                <w:rFonts w:ascii="宋体" w:hAnsi="宋体" w:eastAsia="宋体" w:cs="宋体"/>
                <w:kern w:val="0"/>
                <w:sz w:val="24"/>
                <w:szCs w:val="24"/>
                <w:lang w:bidi="ar-AE"/>
              </w:rPr>
              <w:t>99%</w:t>
            </w:r>
            <w:r>
              <w:rPr>
                <w:rFonts w:hint="eastAsia" w:ascii="宋体" w:hAnsi="宋体" w:eastAsia="宋体" w:cs="宋体"/>
                <w:kern w:val="0"/>
                <w:sz w:val="24"/>
                <w:szCs w:val="24"/>
                <w:lang w:bidi="ar-AE"/>
              </w:rPr>
              <w:t>的股权</w:t>
            </w:r>
            <w:bookmarkEnd w:id="0"/>
            <w:r>
              <w:rPr>
                <w:rFonts w:hint="eastAsia" w:ascii="宋体" w:hAnsi="宋体" w:eastAsia="宋体" w:cs="宋体"/>
                <w:kern w:val="0"/>
                <w:sz w:val="24"/>
                <w:szCs w:val="24"/>
                <w:lang w:bidi="ar-AE"/>
              </w:rPr>
              <w:t>，本交易后中金私募与中国信达共同控制合营企业。合营企业拟主要从事中国境内私募股权投资基金管理业务。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2"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参与集中的经营者简介（每个限</w:t>
            </w:r>
            <w:r>
              <w:rPr>
                <w:rFonts w:hint="eastAsia" w:ascii="宋体" w:hAnsi="宋体" w:eastAsia="宋体" w:cs="宋体"/>
                <w:bCs/>
                <w:color w:val="000000"/>
                <w:kern w:val="0"/>
                <w:sz w:val="24"/>
                <w:szCs w:val="24"/>
                <w:lang w:bidi="ar-AE"/>
              </w:rPr>
              <w:t>100字以内</w:t>
            </w:r>
            <w:r>
              <w:rPr>
                <w:rFonts w:hint="eastAsia" w:ascii="宋体" w:hAnsi="宋体" w:eastAsia="宋体" w:cs="宋体"/>
                <w:bCs/>
                <w:color w:val="000000"/>
                <w:kern w:val="0"/>
                <w:sz w:val="24"/>
                <w:szCs w:val="24"/>
                <w:lang w:val="en-GB" w:bidi="ar-AE"/>
              </w:rPr>
              <w:t>）</w:t>
            </w:r>
          </w:p>
        </w:tc>
        <w:tc>
          <w:tcPr>
            <w:tcW w:w="1607" w:type="dxa"/>
            <w:vAlign w:val="center"/>
          </w:tcPr>
          <w:p>
            <w:pPr>
              <w:widowControl/>
              <w:adjustRightInd w:val="0"/>
              <w:snapToGrid w:val="0"/>
              <w:rPr>
                <w:rFonts w:ascii="宋体" w:hAnsi="宋体" w:eastAsia="宋体" w:cs="宋体"/>
                <w:bCs/>
                <w:color w:val="000000"/>
                <w:kern w:val="0"/>
                <w:sz w:val="24"/>
                <w:szCs w:val="24"/>
                <w:lang w:val="en-GB" w:bidi="ar-AE"/>
              </w:rPr>
            </w:pPr>
            <w:r>
              <w:rPr>
                <w:rFonts w:hint="eastAsia" w:ascii="宋体" w:hAnsi="宋体" w:eastAsia="宋体" w:cs="宋体"/>
                <w:bCs/>
                <w:color w:val="000000"/>
                <w:kern w:val="0"/>
                <w:sz w:val="24"/>
                <w:szCs w:val="24"/>
                <w:lang w:bidi="ar-AE"/>
              </w:rPr>
              <w:t>1.</w:t>
            </w:r>
            <w:r>
              <w:rPr>
                <w:rFonts w:hint="eastAsia" w:ascii="Times New Roman" w:hAnsi="Times New Roman" w:eastAsia="宋体" w:cs="Simplified Arabic"/>
                <w:kern w:val="0"/>
                <w:sz w:val="24"/>
                <w:szCs w:val="24"/>
                <w:lang w:val="en-GB" w:eastAsia="en-GB" w:bidi="ar-AE"/>
              </w:rPr>
              <w:t xml:space="preserve"> </w:t>
            </w:r>
            <w:r>
              <w:rPr>
                <w:rFonts w:hint="eastAsia" w:ascii="宋体" w:hAnsi="宋体" w:eastAsia="宋体" w:cs="宋体"/>
                <w:bCs/>
                <w:color w:val="000000"/>
                <w:kern w:val="0"/>
                <w:sz w:val="24"/>
                <w:szCs w:val="24"/>
                <w:lang w:val="en-GB" w:bidi="ar-AE"/>
              </w:rPr>
              <w:t>中金私募</w:t>
            </w:r>
          </w:p>
        </w:tc>
        <w:tc>
          <w:tcPr>
            <w:tcW w:w="6093" w:type="dxa"/>
            <w:vAlign w:val="center"/>
          </w:tcPr>
          <w:p>
            <w:pPr>
              <w:adjustRightInd w:val="0"/>
              <w:snapToGrid w:val="0"/>
              <w:rPr>
                <w:rFonts w:ascii="宋体" w:hAnsi="宋体" w:eastAsia="宋体" w:cs="宋体"/>
                <w:kern w:val="0"/>
                <w:sz w:val="24"/>
                <w:szCs w:val="24"/>
                <w:lang w:bidi="ar-AE"/>
              </w:rPr>
            </w:pPr>
            <w:r>
              <w:rPr>
                <w:rFonts w:hint="eastAsia" w:ascii="宋体" w:hAnsi="宋体" w:eastAsia="宋体" w:cs="宋体"/>
                <w:kern w:val="0"/>
                <w:sz w:val="24"/>
                <w:szCs w:val="24"/>
                <w:lang w:bidi="ar-AE"/>
              </w:rPr>
              <w:t>中金私募于2020年10月30日成立于中国上海市，主要从事股权投资管理，投资管理，资产管理，投资咨询业务。</w:t>
            </w:r>
          </w:p>
          <w:p>
            <w:pPr>
              <w:widowControl/>
              <w:snapToGrid w:val="0"/>
              <w:jc w:val="left"/>
              <w:rPr>
                <w:rFonts w:ascii="宋体" w:hAnsi="宋体" w:eastAsia="宋体" w:cs="Times New Roman"/>
                <w:sz w:val="24"/>
                <w:szCs w:val="24"/>
              </w:rPr>
            </w:pPr>
            <w:r>
              <w:rPr>
                <w:rFonts w:hint="eastAsia" w:ascii="宋体" w:hAnsi="宋体" w:eastAsia="宋体" w:cs="宋体"/>
                <w:kern w:val="0"/>
                <w:sz w:val="24"/>
                <w:szCs w:val="24"/>
                <w:lang w:bidi="ar-AE"/>
              </w:rPr>
              <w:t>中金私募最终控制人为中国国际金融股份有限公司，其主要业务为投资银行、股票业务、固定收益、资产管理、私募股权、财富管理及相关金融服务。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1607" w:type="dxa"/>
            <w:vAlign w:val="center"/>
          </w:tcPr>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w:t>
            </w:r>
            <w:r>
              <w:rPr>
                <w:rFonts w:hint="eastAsia" w:ascii="宋体" w:hAnsi="宋体" w:eastAsia="宋体" w:cs="宋体"/>
                <w:bCs/>
                <w:color w:val="000000"/>
                <w:kern w:val="0"/>
                <w:sz w:val="24"/>
                <w:szCs w:val="24"/>
                <w:lang w:bidi="ar-AE"/>
              </w:rPr>
              <w:t>. 中国信达</w:t>
            </w:r>
          </w:p>
        </w:tc>
        <w:tc>
          <w:tcPr>
            <w:tcW w:w="6093" w:type="dxa"/>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国信达于1999年4月19日成立于中国北京市，无最终控制人，其主要业务为：不良资产经营业务，包括围绕不良资产开展的债权资产经营、债转股资产经营、其他不良资产经营与受托经营业务等；金融服务业务，包括银行、证券、期货、公募基金、信托和租赁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简易案件理由（可以单选，也可以多选）</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FE"/>
            </w:r>
            <w:r>
              <w:rPr>
                <w:rFonts w:hint="eastAsia" w:ascii="宋体" w:hAnsi="宋体" w:eastAsia="宋体" w:cs="宋体"/>
                <w:bCs/>
                <w:color w:val="000000"/>
                <w:kern w:val="0"/>
                <w:sz w:val="24"/>
                <w:szCs w:val="24"/>
                <w:lang w:val="en-GB" w:bidi="ar-AE"/>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备注</w:t>
            </w:r>
          </w:p>
        </w:tc>
        <w:tc>
          <w:tcPr>
            <w:tcW w:w="7700" w:type="dxa"/>
            <w:gridSpan w:val="2"/>
            <w:vAlign w:val="center"/>
          </w:tcPr>
          <w:p>
            <w:pPr>
              <w:widowControl/>
              <w:adjustRightInd w:val="0"/>
              <w:snapToGrid w:val="0"/>
              <w:rPr>
                <w:rFonts w:ascii="宋体" w:hAnsi="宋体" w:eastAsia="宋体" w:cs="宋体"/>
                <w:b/>
                <w:color w:val="000000"/>
                <w:kern w:val="0"/>
                <w:sz w:val="24"/>
                <w:szCs w:val="24"/>
                <w:lang w:val="en-GB" w:bidi="ar-AE"/>
              </w:rPr>
            </w:pPr>
            <w:r>
              <w:rPr>
                <w:rFonts w:hint="eastAsia" w:ascii="宋体" w:hAnsi="宋体" w:eastAsia="宋体" w:cs="宋体"/>
                <w:b/>
                <w:color w:val="000000"/>
                <w:kern w:val="0"/>
                <w:sz w:val="24"/>
                <w:szCs w:val="24"/>
                <w:lang w:val="en-GB" w:bidi="ar-AE"/>
              </w:rPr>
              <w:t>横向重叠：</w:t>
            </w:r>
          </w:p>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2021</w:t>
            </w:r>
            <w:r>
              <w:rPr>
                <w:rFonts w:hint="eastAsia" w:ascii="宋体" w:hAnsi="宋体" w:eastAsia="宋体" w:cs="宋体"/>
                <w:bCs/>
                <w:color w:val="000000"/>
                <w:kern w:val="0"/>
                <w:sz w:val="24"/>
                <w:szCs w:val="24"/>
                <w:lang w:bidi="ar-AE"/>
              </w:rPr>
              <w:t>年</w:t>
            </w:r>
            <w:r>
              <w:rPr>
                <w:rFonts w:hint="eastAsia" w:ascii="宋体" w:hAnsi="宋体" w:eastAsia="宋体" w:cs="宋体"/>
                <w:bCs/>
                <w:color w:val="000000"/>
                <w:kern w:val="0"/>
                <w:sz w:val="24"/>
                <w:szCs w:val="24"/>
                <w:lang w:val="en-GB" w:bidi="ar-AE"/>
              </w:rPr>
              <w:t>中国境内</w:t>
            </w:r>
            <w:r>
              <w:rPr>
                <w:rFonts w:hint="eastAsia" w:ascii="宋体" w:hAnsi="宋体" w:eastAsia="宋体" w:cs="宋体"/>
                <w:bCs/>
                <w:color w:val="000000"/>
                <w:kern w:val="0"/>
                <w:sz w:val="24"/>
                <w:szCs w:val="24"/>
                <w:lang w:bidi="ar-AE"/>
              </w:rPr>
              <w:t>私募股权投资基金管理市场:</w:t>
            </w:r>
          </w:p>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中金私募：0-5%，中国信达: 0-5%，各方合计：0-5%</w:t>
            </w:r>
          </w:p>
        </w:tc>
      </w:tr>
    </w:tbl>
    <w:p>
      <w:pPr>
        <w:widowControl/>
        <w:adjustRightInd w:val="0"/>
        <w:snapToGrid w:val="0"/>
        <w:rPr>
          <w:rFonts w:ascii="Arial" w:hAnsi="Arial" w:eastAsia="楷体_GB2312" w:cs="Arial"/>
          <w:b/>
          <w:color w:val="000000"/>
          <w:kern w:val="0"/>
          <w:sz w:val="22"/>
          <w:lang w:val="en-GB" w:bidi="ar-AE"/>
        </w:rPr>
      </w:pPr>
    </w:p>
    <w:p>
      <w:pPr>
        <w:rPr>
          <w:lang w:val="en-GB"/>
        </w:rPr>
      </w:pPr>
    </w:p>
    <w:sectPr>
      <w:footerReference r:id="rId3"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Simplified Arabic">
    <w:altName w:val="Times New Roman"/>
    <w:panose1 w:val="00000000000000000000"/>
    <w:charset w:val="B2"/>
    <w:family w:val="roman"/>
    <w:pitch w:val="default"/>
    <w:sig w:usb0="00000000" w:usb1="00000000" w:usb2="00000008" w:usb3="00000000" w:csb0="00000041" w:csb1="00000000"/>
  </w:font>
  <w:font w:name="Arial">
    <w:altName w:val="Times New Roman"/>
    <w:panose1 w:val="020B06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2"/>
          </w:pPr>
        </w:p>
      </w:tc>
      <w:tc>
        <w:tcPr>
          <w:tcW w:w="3081" w:type="dxa"/>
        </w:tcPr>
        <w:p>
          <w:pPr>
            <w:pStyle w:val="2"/>
            <w:jc w:val="center"/>
            <w:rPr>
              <w:rStyle w:val="6"/>
              <w:rFonts w:cs="Times New Roman"/>
            </w:rPr>
          </w:pPr>
          <w:r>
            <w:rPr>
              <w:rStyle w:val="6"/>
              <w:rFonts w:cs="Times New Roman"/>
            </w:rPr>
            <w:t xml:space="preserve">- </w:t>
          </w:r>
          <w:r>
            <w:rPr>
              <w:rStyle w:val="6"/>
              <w:rFonts w:cs="Times New Roman"/>
            </w:rPr>
            <w:fldChar w:fldCharType="begin"/>
          </w:r>
          <w:r>
            <w:rPr>
              <w:rStyle w:val="6"/>
              <w:rFonts w:cs="Times New Roman"/>
            </w:rPr>
            <w:instrText xml:space="preserve"> PAGE   \* MERGEFORMAT </w:instrText>
          </w:r>
          <w:r>
            <w:rPr>
              <w:rStyle w:val="6"/>
              <w:rFonts w:cs="Times New Roman"/>
            </w:rPr>
            <w:fldChar w:fldCharType="separate"/>
          </w:r>
          <w:r>
            <w:rPr>
              <w:rStyle w:val="6"/>
              <w:rFonts w:cs="Times New Roman"/>
              <w:lang w:val="en-US"/>
            </w:rPr>
            <w:t>2</w:t>
          </w:r>
          <w:r>
            <w:rPr>
              <w:rStyle w:val="6"/>
              <w:rFonts w:cs="Times New Roman"/>
            </w:rPr>
            <w:fldChar w:fldCharType="end"/>
          </w:r>
          <w:r>
            <w:rPr>
              <w:rStyle w:val="6"/>
              <w:rFonts w:cs="Times New Roman"/>
            </w:rPr>
            <w:t xml:space="preserve"> -</w:t>
          </w:r>
        </w:p>
      </w:tc>
      <w:tc>
        <w:tcPr>
          <w:tcW w:w="3081" w:type="dxa"/>
        </w:tcPr>
        <w:p>
          <w:pPr>
            <w:pStyle w:val="8"/>
          </w:pPr>
        </w:p>
      </w:tc>
    </w:tr>
  </w:tbl>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11"/>
    <w:rsid w:val="00043DEF"/>
    <w:rsid w:val="000C7440"/>
    <w:rsid w:val="001913F1"/>
    <w:rsid w:val="001D0CA1"/>
    <w:rsid w:val="00370DF9"/>
    <w:rsid w:val="00457FD5"/>
    <w:rsid w:val="005E12C1"/>
    <w:rsid w:val="006F1878"/>
    <w:rsid w:val="00714B1E"/>
    <w:rsid w:val="00730311"/>
    <w:rsid w:val="007C761D"/>
    <w:rsid w:val="00900589"/>
    <w:rsid w:val="0097246D"/>
    <w:rsid w:val="00A45856"/>
    <w:rsid w:val="00A60FD0"/>
    <w:rsid w:val="00B93A43"/>
    <w:rsid w:val="00BD27CA"/>
    <w:rsid w:val="00C44DF2"/>
    <w:rsid w:val="00C80032"/>
    <w:rsid w:val="00D41C03"/>
    <w:rsid w:val="00D4344B"/>
    <w:rsid w:val="00DB5EF0"/>
    <w:rsid w:val="00E77C03"/>
    <w:rsid w:val="62BC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rPr>
      <w:rFonts w:ascii="Times New Roman" w:hAnsi="Times New Roman" w:eastAsia="宋体" w:cs="Simplified Arabic"/>
      <w:sz w:val="24"/>
      <w:szCs w:val="24"/>
      <w:lang w:val="en-GB" w:bidi="ar-AE"/>
    </w:rPr>
  </w:style>
  <w:style w:type="character" w:customStyle="1" w:styleId="7">
    <w:name w:val="页脚 字符"/>
    <w:basedOn w:val="5"/>
    <w:link w:val="2"/>
    <w:qFormat/>
    <w:uiPriority w:val="99"/>
    <w:rPr>
      <w:sz w:val="18"/>
      <w:szCs w:val="18"/>
    </w:rPr>
  </w:style>
  <w:style w:type="paragraph" w:customStyle="1" w:styleId="8">
    <w:name w:val="Footer Right"/>
    <w:basedOn w:val="2"/>
    <w:qFormat/>
    <w:uiPriority w:val="0"/>
    <w:pPr>
      <w:widowControl/>
      <w:tabs>
        <w:tab w:val="clear" w:pos="4153"/>
        <w:tab w:val="clear" w:pos="8306"/>
      </w:tabs>
      <w:snapToGrid/>
      <w:jc w:val="right"/>
    </w:pPr>
    <w:rPr>
      <w:rFonts w:ascii="Times New Roman" w:hAnsi="Times New Roman" w:eastAsia="宋体" w:cs="Times New Roman"/>
      <w:kern w:val="0"/>
      <w:sz w:val="16"/>
      <w:szCs w:val="16"/>
      <w:lang w:val="en-GB" w:bidi="he-IL"/>
    </w:r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0">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753</Characters>
  <Lines>6</Lines>
  <Paragraphs>1</Paragraphs>
  <TotalTime>6</TotalTime>
  <ScaleCrop>false</ScaleCrop>
  <LinksUpToDate>false</LinksUpToDate>
  <CharactersWithSpaces>884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2022-06-02T17:15:00Z</dcterms:created>
  <cp:lastModifiedBy>greatwall</cp:lastModifiedBy>
  <dcterms:modified xsi:type="dcterms:W3CDTF">2022-06-06T10:51:24Z</dcterms:modified>
  <dc:title>经营者集中简易案件公示表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