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39F1" w14:textId="6811F5D7" w:rsidR="0095347A" w:rsidRDefault="00094095" w:rsidP="00CD5B38">
      <w:pPr>
        <w:spacing w:line="440" w:lineRule="exact"/>
        <w:jc w:val="center"/>
        <w:rPr>
          <w:rFonts w:ascii="黑体" w:eastAsia="黑体" w:hAnsi="黑体"/>
          <w:b/>
          <w:bCs/>
          <w:sz w:val="36"/>
          <w:szCs w:val="36"/>
        </w:rPr>
      </w:pPr>
      <w:r w:rsidRPr="002D2C5B">
        <w:rPr>
          <w:rFonts w:ascii="黑体" w:eastAsia="黑体" w:hAnsi="黑体"/>
          <w:b/>
          <w:bCs/>
          <w:sz w:val="36"/>
          <w:szCs w:val="36"/>
        </w:rPr>
        <w:t>经营者集中简易案件公示表</w:t>
      </w:r>
    </w:p>
    <w:p w14:paraId="0CF5A9B1" w14:textId="77777777" w:rsidR="00A215BF" w:rsidRPr="00A215BF" w:rsidRDefault="00A215BF" w:rsidP="00CD5B38">
      <w:pPr>
        <w:spacing w:line="440" w:lineRule="exact"/>
        <w:jc w:val="center"/>
        <w:rPr>
          <w:rFonts w:ascii="黑体" w:eastAsia="黑体" w:hAnsi="黑体"/>
          <w:b/>
          <w:bCs/>
          <w:sz w:val="36"/>
          <w:szCs w:val="36"/>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4754"/>
      </w:tblGrid>
      <w:tr w:rsidR="00D73A38" w:rsidRPr="002D2C5B" w14:paraId="4D42BED9" w14:textId="77777777" w:rsidTr="00BA4F7F">
        <w:tc>
          <w:tcPr>
            <w:tcW w:w="1809" w:type="dxa"/>
            <w:shd w:val="clear" w:color="auto" w:fill="D9D9D9"/>
          </w:tcPr>
          <w:p w14:paraId="3EF0B65B" w14:textId="77777777" w:rsidR="00266A6B" w:rsidRPr="002D2C5B" w:rsidRDefault="00266A6B" w:rsidP="002D2C5B">
            <w:pPr>
              <w:rPr>
                <w:rFonts w:ascii="Times New Roman" w:eastAsiaTheme="minorEastAsia" w:hAnsi="Times New Roman"/>
                <w:b/>
                <w:bCs/>
                <w:sz w:val="24"/>
                <w:szCs w:val="24"/>
              </w:rPr>
            </w:pPr>
            <w:r w:rsidRPr="002D2C5B">
              <w:rPr>
                <w:rFonts w:ascii="Times New Roman" w:eastAsiaTheme="minorEastAsia" w:hAnsi="Times New Roman"/>
                <w:b/>
                <w:bCs/>
                <w:sz w:val="24"/>
                <w:szCs w:val="24"/>
              </w:rPr>
              <w:t>案件名称</w:t>
            </w:r>
          </w:p>
        </w:tc>
        <w:tc>
          <w:tcPr>
            <w:tcW w:w="6550" w:type="dxa"/>
            <w:gridSpan w:val="2"/>
            <w:shd w:val="clear" w:color="auto" w:fill="auto"/>
            <w:vAlign w:val="center"/>
          </w:tcPr>
          <w:p w14:paraId="339098CD" w14:textId="0054535E" w:rsidR="00266A6B" w:rsidRPr="002D2C5B" w:rsidRDefault="00CD5B38" w:rsidP="002D2C5B">
            <w:pPr>
              <w:rPr>
                <w:rFonts w:ascii="Times New Roman" w:eastAsiaTheme="minorEastAsia" w:hAnsi="Times New Roman"/>
                <w:sz w:val="24"/>
                <w:szCs w:val="24"/>
              </w:rPr>
            </w:pPr>
            <w:r w:rsidRPr="002D2C5B">
              <w:rPr>
                <w:rFonts w:ascii="Times New Roman" w:eastAsiaTheme="minorEastAsia" w:hAnsi="Times New Roman"/>
                <w:kern w:val="0"/>
                <w:sz w:val="24"/>
                <w:szCs w:val="24"/>
              </w:rPr>
              <w:t>株式会社商船三井与东邦燃气株式会社等经营者收购海洋国际投资股份有限公司股权案</w:t>
            </w:r>
          </w:p>
        </w:tc>
      </w:tr>
      <w:tr w:rsidR="00D73A38" w:rsidRPr="002D2C5B" w14:paraId="0DDDC025" w14:textId="77777777" w:rsidTr="00BA4F7F">
        <w:trPr>
          <w:trHeight w:val="993"/>
        </w:trPr>
        <w:tc>
          <w:tcPr>
            <w:tcW w:w="1809" w:type="dxa"/>
            <w:shd w:val="clear" w:color="auto" w:fill="D9D9D9"/>
          </w:tcPr>
          <w:p w14:paraId="14A06486" w14:textId="77777777" w:rsidR="00266A6B" w:rsidRPr="002D2C5B" w:rsidRDefault="00266A6B" w:rsidP="002D2C5B">
            <w:pPr>
              <w:rPr>
                <w:rFonts w:ascii="Times New Roman" w:eastAsiaTheme="minorEastAsia" w:hAnsi="Times New Roman"/>
                <w:b/>
                <w:bCs/>
                <w:sz w:val="24"/>
                <w:szCs w:val="24"/>
              </w:rPr>
            </w:pPr>
            <w:r w:rsidRPr="002D2C5B">
              <w:rPr>
                <w:rFonts w:ascii="Times New Roman" w:eastAsiaTheme="minorEastAsia" w:hAnsi="Times New Roman"/>
                <w:b/>
                <w:bCs/>
                <w:sz w:val="24"/>
                <w:szCs w:val="24"/>
              </w:rPr>
              <w:t>交易概况（限</w:t>
            </w:r>
            <w:r w:rsidRPr="002D2C5B">
              <w:rPr>
                <w:rFonts w:ascii="Times New Roman" w:eastAsiaTheme="minorEastAsia" w:hAnsi="Times New Roman"/>
                <w:b/>
                <w:bCs/>
                <w:sz w:val="24"/>
                <w:szCs w:val="24"/>
              </w:rPr>
              <w:t>200</w:t>
            </w:r>
            <w:r w:rsidRPr="002D2C5B">
              <w:rPr>
                <w:rFonts w:ascii="Times New Roman" w:eastAsiaTheme="minorEastAsia" w:hAnsi="Times New Roman"/>
                <w:b/>
                <w:bCs/>
                <w:sz w:val="24"/>
                <w:szCs w:val="24"/>
              </w:rPr>
              <w:t>字内）</w:t>
            </w:r>
          </w:p>
        </w:tc>
        <w:tc>
          <w:tcPr>
            <w:tcW w:w="6550" w:type="dxa"/>
            <w:gridSpan w:val="2"/>
          </w:tcPr>
          <w:p w14:paraId="20B222B9" w14:textId="569263B6" w:rsidR="00266A6B" w:rsidRDefault="00C5127B" w:rsidP="002D2C5B">
            <w:pPr>
              <w:tabs>
                <w:tab w:val="left" w:pos="651"/>
              </w:tabs>
              <w:rPr>
                <w:rFonts w:ascii="Times New Roman" w:eastAsiaTheme="minorEastAsia" w:hAnsi="Times New Roman"/>
                <w:kern w:val="0"/>
                <w:sz w:val="24"/>
                <w:szCs w:val="24"/>
              </w:rPr>
            </w:pPr>
            <w:r>
              <w:rPr>
                <w:rFonts w:ascii="Times New Roman" w:eastAsiaTheme="minorEastAsia" w:hAnsi="Times New Roman" w:hint="eastAsia"/>
                <w:color w:val="000000"/>
                <w:sz w:val="24"/>
                <w:szCs w:val="24"/>
              </w:rPr>
              <w:t>本</w:t>
            </w:r>
            <w:r w:rsidR="009B4532" w:rsidRPr="002D2C5B">
              <w:rPr>
                <w:rFonts w:ascii="Times New Roman" w:eastAsiaTheme="minorEastAsia" w:hAnsi="Times New Roman"/>
                <w:color w:val="000000"/>
                <w:sz w:val="24"/>
                <w:szCs w:val="24"/>
              </w:rPr>
              <w:t>交易涉及</w:t>
            </w:r>
            <w:r w:rsidR="00CD5B38" w:rsidRPr="002D2C5B">
              <w:rPr>
                <w:rFonts w:ascii="Times New Roman" w:eastAsiaTheme="minorEastAsia" w:hAnsi="Times New Roman"/>
                <w:kern w:val="0"/>
                <w:sz w:val="24"/>
                <w:szCs w:val="24"/>
              </w:rPr>
              <w:t>株式会社商船三井</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b/>
                <w:bCs/>
                <w:kern w:val="0"/>
                <w:sz w:val="24"/>
                <w:szCs w:val="24"/>
              </w:rPr>
              <w:t>商船三井</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sidR="00CD5B38" w:rsidRPr="002D2C5B">
              <w:rPr>
                <w:rFonts w:ascii="Times New Roman" w:eastAsiaTheme="minorEastAsia" w:hAnsi="Times New Roman"/>
                <w:kern w:val="0"/>
                <w:sz w:val="24"/>
                <w:szCs w:val="24"/>
              </w:rPr>
              <w:t>、东邦燃气株式会社</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b/>
                <w:bCs/>
                <w:kern w:val="0"/>
                <w:sz w:val="24"/>
                <w:szCs w:val="24"/>
              </w:rPr>
              <w:t>东邦燃气</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sidR="00CD5B38" w:rsidRPr="002D2C5B">
              <w:rPr>
                <w:rFonts w:ascii="Times New Roman" w:eastAsiaTheme="minorEastAsia" w:hAnsi="Times New Roman"/>
                <w:kern w:val="0"/>
                <w:sz w:val="24"/>
                <w:szCs w:val="24"/>
              </w:rPr>
              <w:t>和北陆电力株式会社</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b/>
                <w:bCs/>
                <w:kern w:val="0"/>
                <w:sz w:val="24"/>
                <w:szCs w:val="24"/>
              </w:rPr>
              <w:t>北陆电力</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）通过第三</w:t>
            </w:r>
            <w:proofErr w:type="gramStart"/>
            <w:r w:rsidR="00713E33" w:rsidRPr="002D2C5B">
              <w:rPr>
                <w:rFonts w:ascii="Times New Roman" w:eastAsiaTheme="minorEastAsia" w:hAnsi="Times New Roman"/>
                <w:kern w:val="0"/>
                <w:sz w:val="24"/>
                <w:szCs w:val="24"/>
              </w:rPr>
              <w:t>方特殊</w:t>
            </w:r>
            <w:proofErr w:type="gramEnd"/>
            <w:r w:rsidR="00713E33" w:rsidRPr="002D2C5B">
              <w:rPr>
                <w:rFonts w:ascii="Times New Roman" w:eastAsiaTheme="minorEastAsia" w:hAnsi="Times New Roman"/>
                <w:kern w:val="0"/>
                <w:sz w:val="24"/>
                <w:szCs w:val="24"/>
              </w:rPr>
              <w:t>目的实体（</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b/>
                <w:bCs/>
                <w:kern w:val="0"/>
                <w:sz w:val="24"/>
                <w:szCs w:val="24"/>
              </w:rPr>
              <w:t>SPC</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Pr>
                <w:rFonts w:ascii="Times New Roman" w:eastAsiaTheme="minorEastAsia" w:hAnsi="Times New Roman" w:hint="eastAsia"/>
                <w:kern w:val="0"/>
                <w:sz w:val="24"/>
                <w:szCs w:val="24"/>
              </w:rPr>
              <w:t>向</w:t>
            </w:r>
            <w:r w:rsidRPr="00C5127B">
              <w:rPr>
                <w:rFonts w:ascii="Times New Roman" w:eastAsiaTheme="minorEastAsia" w:hAnsi="Times New Roman" w:hint="eastAsia"/>
                <w:kern w:val="0"/>
                <w:sz w:val="24"/>
                <w:szCs w:val="24"/>
              </w:rPr>
              <w:t>麦格理</w:t>
            </w:r>
            <w:proofErr w:type="gramStart"/>
            <w:r w:rsidRPr="00C5127B">
              <w:rPr>
                <w:rFonts w:ascii="Times New Roman" w:eastAsiaTheme="minorEastAsia" w:hAnsi="Times New Roman" w:hint="eastAsia"/>
                <w:kern w:val="0"/>
                <w:sz w:val="24"/>
                <w:szCs w:val="24"/>
              </w:rPr>
              <w:t>一</w:t>
            </w:r>
            <w:proofErr w:type="gramEnd"/>
            <w:r w:rsidRPr="00C5127B">
              <w:rPr>
                <w:rFonts w:ascii="Times New Roman" w:eastAsiaTheme="minorEastAsia" w:hAnsi="Times New Roman" w:hint="eastAsia"/>
                <w:kern w:val="0"/>
                <w:sz w:val="24"/>
                <w:szCs w:val="24"/>
              </w:rPr>
              <w:t>海洋风力发展有限公司</w:t>
            </w:r>
            <w:r>
              <w:rPr>
                <w:rFonts w:ascii="Times New Roman" w:eastAsiaTheme="minorEastAsia" w:hAnsi="Times New Roman" w:hint="eastAsia"/>
                <w:kern w:val="0"/>
                <w:sz w:val="24"/>
                <w:szCs w:val="24"/>
              </w:rPr>
              <w:t>（“</w:t>
            </w:r>
            <w:r w:rsidRPr="00C5127B">
              <w:rPr>
                <w:rFonts w:ascii="Times New Roman" w:eastAsiaTheme="minorEastAsia" w:hAnsi="Times New Roman" w:hint="eastAsia"/>
                <w:b/>
                <w:bCs/>
                <w:kern w:val="0"/>
                <w:sz w:val="24"/>
                <w:szCs w:val="24"/>
              </w:rPr>
              <w:t>麦格理</w:t>
            </w:r>
            <w:r>
              <w:rPr>
                <w:rFonts w:ascii="Times New Roman" w:eastAsiaTheme="minorEastAsia" w:hAnsi="Times New Roman" w:hint="eastAsia"/>
                <w:kern w:val="0"/>
                <w:sz w:val="24"/>
                <w:szCs w:val="24"/>
              </w:rPr>
              <w:t>”）</w:t>
            </w:r>
            <w:r w:rsidR="00713E33" w:rsidRPr="002D2C5B">
              <w:rPr>
                <w:rFonts w:ascii="Times New Roman" w:eastAsiaTheme="minorEastAsia" w:hAnsi="Times New Roman"/>
                <w:kern w:val="0"/>
                <w:sz w:val="24"/>
                <w:szCs w:val="24"/>
              </w:rPr>
              <w:t>收购海洋国际投资股份有限公司（</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b/>
                <w:bCs/>
                <w:kern w:val="0"/>
                <w:sz w:val="24"/>
                <w:szCs w:val="24"/>
              </w:rPr>
              <w:t>目标公司</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25%</w:t>
            </w:r>
            <w:r w:rsidR="00713E33" w:rsidRPr="002D2C5B">
              <w:rPr>
                <w:rFonts w:ascii="Times New Roman" w:eastAsiaTheme="minorEastAsia" w:hAnsi="Times New Roman"/>
                <w:kern w:val="0"/>
                <w:sz w:val="24"/>
                <w:szCs w:val="24"/>
              </w:rPr>
              <w:t>的股份（</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b/>
                <w:bCs/>
                <w:kern w:val="0"/>
                <w:sz w:val="24"/>
                <w:szCs w:val="24"/>
              </w:rPr>
              <w:t>拟议交易</w:t>
            </w:r>
            <w:r w:rsidR="00713E33" w:rsidRPr="002D2C5B">
              <w:rPr>
                <w:rFonts w:ascii="Times New Roman" w:eastAsiaTheme="minorEastAsia" w:hAnsi="Times New Roman"/>
                <w:kern w:val="0"/>
                <w:sz w:val="24"/>
                <w:szCs w:val="24"/>
              </w:rPr>
              <w:t>”</w:t>
            </w:r>
            <w:r w:rsidR="00713E33" w:rsidRPr="002D2C5B">
              <w:rPr>
                <w:rFonts w:ascii="Times New Roman" w:eastAsiaTheme="minorEastAsia" w:hAnsi="Times New Roman"/>
                <w:kern w:val="0"/>
                <w:sz w:val="24"/>
                <w:szCs w:val="24"/>
              </w:rPr>
              <w:t>）。</w:t>
            </w:r>
            <w:r>
              <w:rPr>
                <w:rFonts w:ascii="Times New Roman" w:eastAsiaTheme="minorEastAsia" w:hAnsi="Times New Roman" w:hint="eastAsia"/>
                <w:kern w:val="0"/>
                <w:sz w:val="24"/>
                <w:szCs w:val="24"/>
              </w:rPr>
              <w:t>目标公司</w:t>
            </w:r>
            <w:r w:rsidR="004B686C">
              <w:rPr>
                <w:rFonts w:ascii="Times New Roman" w:eastAsiaTheme="minorEastAsia" w:hAnsi="Times New Roman" w:hint="eastAsia"/>
                <w:kern w:val="0"/>
                <w:sz w:val="24"/>
                <w:szCs w:val="24"/>
              </w:rPr>
              <w:t>通过</w:t>
            </w:r>
            <w:r w:rsidR="004B686C" w:rsidRPr="002D2C5B">
              <w:rPr>
                <w:rFonts w:ascii="Times New Roman" w:eastAsiaTheme="minorEastAsia" w:hAnsi="Times New Roman"/>
                <w:color w:val="000000"/>
                <w:sz w:val="24"/>
                <w:szCs w:val="24"/>
              </w:rPr>
              <w:t>其</w:t>
            </w:r>
            <w:r w:rsidR="004B686C">
              <w:rPr>
                <w:rFonts w:ascii="Times New Roman" w:eastAsiaTheme="minorEastAsia" w:hAnsi="Times New Roman" w:hint="eastAsia"/>
                <w:color w:val="000000"/>
                <w:sz w:val="24"/>
                <w:szCs w:val="24"/>
              </w:rPr>
              <w:t>全资</w:t>
            </w:r>
            <w:r w:rsidR="004B686C" w:rsidRPr="002D2C5B">
              <w:rPr>
                <w:rFonts w:ascii="Times New Roman" w:eastAsiaTheme="minorEastAsia" w:hAnsi="Times New Roman"/>
                <w:color w:val="000000"/>
                <w:sz w:val="24"/>
                <w:szCs w:val="24"/>
              </w:rPr>
              <w:t>子公司</w:t>
            </w:r>
            <w:r w:rsidR="0075247A" w:rsidRPr="0075247A">
              <w:rPr>
                <w:rFonts w:ascii="Times New Roman" w:eastAsiaTheme="minorEastAsia" w:hAnsi="Times New Roman" w:hint="eastAsia"/>
                <w:color w:val="000000"/>
                <w:sz w:val="24"/>
                <w:szCs w:val="24"/>
              </w:rPr>
              <w:t>海洋风力发电股份有限公司</w:t>
            </w:r>
            <w:r w:rsidR="002317A5">
              <w:rPr>
                <w:rFonts w:ascii="Times New Roman" w:eastAsiaTheme="minorEastAsia" w:hAnsi="Times New Roman" w:hint="eastAsia"/>
                <w:kern w:val="0"/>
                <w:sz w:val="24"/>
                <w:szCs w:val="24"/>
              </w:rPr>
              <w:t>在台湾从事某海上风电场的运营</w:t>
            </w:r>
            <w:r w:rsidR="007010A9">
              <w:rPr>
                <w:rFonts w:ascii="Times New Roman" w:eastAsiaTheme="minorEastAsia" w:hAnsi="Times New Roman" w:hint="eastAsia"/>
                <w:kern w:val="0"/>
                <w:sz w:val="24"/>
                <w:szCs w:val="24"/>
              </w:rPr>
              <w:t>业务</w:t>
            </w:r>
            <w:r w:rsidR="002317A5">
              <w:rPr>
                <w:rFonts w:ascii="Times New Roman" w:eastAsiaTheme="minorEastAsia" w:hAnsi="Times New Roman" w:hint="eastAsia"/>
                <w:kern w:val="0"/>
                <w:sz w:val="24"/>
                <w:szCs w:val="24"/>
              </w:rPr>
              <w:t>。</w:t>
            </w:r>
          </w:p>
          <w:p w14:paraId="1305B12E" w14:textId="77777777" w:rsidR="00E06AD6" w:rsidRPr="002D2C5B" w:rsidRDefault="00E06AD6" w:rsidP="002D2C5B">
            <w:pPr>
              <w:tabs>
                <w:tab w:val="left" w:pos="651"/>
              </w:tabs>
              <w:rPr>
                <w:rFonts w:ascii="Times New Roman" w:eastAsiaTheme="minorEastAsia" w:hAnsi="Times New Roman"/>
                <w:kern w:val="0"/>
                <w:sz w:val="24"/>
                <w:szCs w:val="24"/>
              </w:rPr>
            </w:pPr>
          </w:p>
          <w:p w14:paraId="683D2C6A" w14:textId="34AB156C" w:rsidR="00713E33" w:rsidRPr="002D2C5B" w:rsidRDefault="002317A5" w:rsidP="002D2C5B">
            <w:pPr>
              <w:tabs>
                <w:tab w:val="left" w:pos="651"/>
              </w:tabs>
              <w:rPr>
                <w:rFonts w:ascii="Times New Roman" w:eastAsiaTheme="minorEastAsia" w:hAnsi="Times New Roman"/>
                <w:color w:val="000000"/>
                <w:sz w:val="24"/>
                <w:szCs w:val="24"/>
              </w:rPr>
            </w:pPr>
            <w:r>
              <w:rPr>
                <w:rFonts w:ascii="Times New Roman" w:eastAsiaTheme="minorEastAsia" w:hAnsi="Times New Roman" w:hint="eastAsia"/>
                <w:color w:val="000000"/>
                <w:sz w:val="24"/>
                <w:szCs w:val="24"/>
              </w:rPr>
              <w:t>拟议交易前，</w:t>
            </w:r>
            <w:r w:rsidRPr="002D2C5B">
              <w:rPr>
                <w:rFonts w:ascii="Times New Roman" w:eastAsiaTheme="minorEastAsia" w:hAnsi="Times New Roman"/>
                <w:color w:val="000000"/>
                <w:sz w:val="24"/>
                <w:szCs w:val="24"/>
              </w:rPr>
              <w:t>目标公司</w:t>
            </w:r>
            <w:proofErr w:type="gramStart"/>
            <w:r w:rsidRPr="002D2C5B">
              <w:rPr>
                <w:rFonts w:ascii="Times New Roman" w:eastAsiaTheme="minorEastAsia" w:hAnsi="Times New Roman"/>
                <w:color w:val="000000"/>
                <w:sz w:val="24"/>
                <w:szCs w:val="24"/>
              </w:rPr>
              <w:t>由</w:t>
            </w:r>
            <w:r w:rsidRPr="002D2C5B">
              <w:rPr>
                <w:rFonts w:ascii="Times New Roman" w:eastAsiaTheme="minorEastAsia" w:hAnsi="Times New Roman"/>
                <w:kern w:val="0"/>
                <w:sz w:val="24"/>
                <w:szCs w:val="24"/>
              </w:rPr>
              <w:t>沃旭投资</w:t>
            </w:r>
            <w:proofErr w:type="gramEnd"/>
            <w:r w:rsidRPr="002D2C5B">
              <w:rPr>
                <w:rFonts w:ascii="Times New Roman" w:eastAsiaTheme="minorEastAsia" w:hAnsi="Times New Roman"/>
                <w:kern w:val="0"/>
                <w:sz w:val="24"/>
                <w:szCs w:val="24"/>
              </w:rPr>
              <w:t>股份有限公司（</w:t>
            </w:r>
            <w:r w:rsidRPr="002D2C5B">
              <w:rPr>
                <w:rFonts w:ascii="Times New Roman" w:eastAsiaTheme="minorEastAsia" w:hAnsi="Times New Roman"/>
                <w:kern w:val="0"/>
                <w:sz w:val="24"/>
                <w:szCs w:val="24"/>
              </w:rPr>
              <w:t>“</w:t>
            </w:r>
            <w:r w:rsidRPr="002D2C5B">
              <w:rPr>
                <w:rFonts w:ascii="Times New Roman" w:eastAsiaTheme="minorEastAsia" w:hAnsi="Times New Roman"/>
                <w:b/>
                <w:bCs/>
                <w:kern w:val="0"/>
                <w:sz w:val="24"/>
                <w:szCs w:val="24"/>
              </w:rPr>
              <w:t>沃旭投资</w:t>
            </w:r>
            <w:r w:rsidRPr="002D2C5B">
              <w:rPr>
                <w:rFonts w:ascii="Times New Roman" w:eastAsiaTheme="minorEastAsia" w:hAnsi="Times New Roman"/>
                <w:kern w:val="0"/>
                <w:sz w:val="24"/>
                <w:szCs w:val="24"/>
              </w:rPr>
              <w:t>”</w:t>
            </w:r>
            <w:r w:rsidRPr="002D2C5B">
              <w:rPr>
                <w:rFonts w:ascii="Times New Roman" w:eastAsiaTheme="minorEastAsia" w:hAnsi="Times New Roman"/>
                <w:kern w:val="0"/>
                <w:sz w:val="24"/>
                <w:szCs w:val="24"/>
              </w:rPr>
              <w:t>，</w:t>
            </w:r>
            <w:r w:rsidRPr="002D2C5B">
              <w:rPr>
                <w:rFonts w:ascii="Times New Roman" w:eastAsiaTheme="minorEastAsia" w:hAnsi="Times New Roman"/>
                <w:kern w:val="0"/>
                <w:sz w:val="24"/>
                <w:szCs w:val="24"/>
              </w:rPr>
              <w:t>35%</w:t>
            </w:r>
            <w:r w:rsidRPr="002D2C5B">
              <w:rPr>
                <w:rFonts w:ascii="Times New Roman" w:eastAsiaTheme="minorEastAsia" w:hAnsi="Times New Roman"/>
                <w:kern w:val="0"/>
                <w:sz w:val="24"/>
                <w:szCs w:val="24"/>
              </w:rPr>
              <w:t>）、上纬国际投资控股股份有限公司（</w:t>
            </w:r>
            <w:r w:rsidRPr="002D2C5B">
              <w:rPr>
                <w:rFonts w:ascii="Times New Roman" w:eastAsiaTheme="minorEastAsia" w:hAnsi="Times New Roman"/>
                <w:kern w:val="0"/>
                <w:sz w:val="24"/>
                <w:szCs w:val="24"/>
              </w:rPr>
              <w:t>“</w:t>
            </w:r>
            <w:r w:rsidRPr="002D2C5B">
              <w:rPr>
                <w:rFonts w:ascii="Times New Roman" w:eastAsiaTheme="minorEastAsia" w:hAnsi="Times New Roman"/>
                <w:b/>
                <w:bCs/>
                <w:kern w:val="0"/>
                <w:sz w:val="24"/>
                <w:szCs w:val="24"/>
              </w:rPr>
              <w:t>上纬投控</w:t>
            </w:r>
            <w:r w:rsidRPr="002D2C5B">
              <w:rPr>
                <w:rFonts w:ascii="Times New Roman" w:eastAsiaTheme="minorEastAsia" w:hAnsi="Times New Roman"/>
                <w:kern w:val="0"/>
                <w:sz w:val="24"/>
                <w:szCs w:val="24"/>
              </w:rPr>
              <w:t>”</w:t>
            </w:r>
            <w:r w:rsidRPr="002D2C5B">
              <w:rPr>
                <w:rFonts w:ascii="Times New Roman" w:eastAsiaTheme="minorEastAsia" w:hAnsi="Times New Roman"/>
                <w:kern w:val="0"/>
                <w:sz w:val="24"/>
                <w:szCs w:val="24"/>
              </w:rPr>
              <w:t>，</w:t>
            </w:r>
            <w:r w:rsidRPr="002D2C5B">
              <w:rPr>
                <w:rFonts w:ascii="Times New Roman" w:eastAsiaTheme="minorEastAsia" w:hAnsi="Times New Roman"/>
                <w:kern w:val="0"/>
                <w:sz w:val="24"/>
                <w:szCs w:val="24"/>
              </w:rPr>
              <w:t>7.5%</w:t>
            </w:r>
            <w:r w:rsidRPr="002D2C5B">
              <w:rPr>
                <w:rFonts w:ascii="Times New Roman" w:eastAsiaTheme="minorEastAsia" w:hAnsi="Times New Roman"/>
                <w:kern w:val="0"/>
                <w:sz w:val="24"/>
                <w:szCs w:val="24"/>
              </w:rPr>
              <w:t>）、</w:t>
            </w:r>
            <w:r w:rsidRPr="002D2C5B">
              <w:rPr>
                <w:rFonts w:ascii="Times New Roman" w:eastAsiaTheme="minorEastAsia" w:hAnsi="Times New Roman"/>
                <w:kern w:val="0"/>
                <w:sz w:val="24"/>
                <w:szCs w:val="24"/>
              </w:rPr>
              <w:t>JERA</w:t>
            </w:r>
            <w:r w:rsidRPr="002D2C5B">
              <w:rPr>
                <w:rFonts w:ascii="Times New Roman" w:eastAsiaTheme="minorEastAsia" w:hAnsi="Times New Roman"/>
                <w:kern w:val="0"/>
                <w:sz w:val="24"/>
                <w:szCs w:val="24"/>
              </w:rPr>
              <w:t>有限公司（</w:t>
            </w:r>
            <w:r w:rsidRPr="002D2C5B">
              <w:rPr>
                <w:rFonts w:ascii="Times New Roman" w:eastAsiaTheme="minorEastAsia" w:hAnsi="Times New Roman"/>
                <w:kern w:val="0"/>
                <w:sz w:val="24"/>
                <w:szCs w:val="24"/>
              </w:rPr>
              <w:t>“</w:t>
            </w:r>
            <w:r w:rsidRPr="002D2C5B">
              <w:rPr>
                <w:rFonts w:ascii="Times New Roman" w:eastAsiaTheme="minorEastAsia" w:hAnsi="Times New Roman"/>
                <w:b/>
                <w:bCs/>
                <w:kern w:val="0"/>
                <w:sz w:val="24"/>
                <w:szCs w:val="24"/>
              </w:rPr>
              <w:t>JERA</w:t>
            </w:r>
            <w:r w:rsidRPr="002D2C5B">
              <w:rPr>
                <w:rFonts w:ascii="Times New Roman" w:eastAsiaTheme="minorEastAsia" w:hAnsi="Times New Roman"/>
                <w:kern w:val="0"/>
                <w:sz w:val="24"/>
                <w:szCs w:val="24"/>
              </w:rPr>
              <w:t>”</w:t>
            </w:r>
            <w:r w:rsidRPr="002D2C5B">
              <w:rPr>
                <w:rFonts w:ascii="Times New Roman" w:eastAsiaTheme="minorEastAsia" w:hAnsi="Times New Roman"/>
                <w:kern w:val="0"/>
                <w:sz w:val="24"/>
                <w:szCs w:val="24"/>
              </w:rPr>
              <w:t>，</w:t>
            </w:r>
            <w:r w:rsidRPr="002D2C5B">
              <w:rPr>
                <w:rFonts w:ascii="Times New Roman" w:eastAsiaTheme="minorEastAsia" w:hAnsi="Times New Roman"/>
                <w:kern w:val="0"/>
                <w:sz w:val="24"/>
                <w:szCs w:val="24"/>
              </w:rPr>
              <w:t>32.5%</w:t>
            </w:r>
            <w:r w:rsidRPr="002D2C5B">
              <w:rPr>
                <w:rFonts w:ascii="Times New Roman" w:eastAsiaTheme="minorEastAsia" w:hAnsi="Times New Roman"/>
                <w:kern w:val="0"/>
                <w:sz w:val="24"/>
                <w:szCs w:val="24"/>
              </w:rPr>
              <w:t>）和</w:t>
            </w:r>
            <w:r>
              <w:rPr>
                <w:rFonts w:ascii="Times New Roman" w:eastAsiaTheme="minorEastAsia" w:hAnsi="Times New Roman" w:hint="eastAsia"/>
                <w:kern w:val="0"/>
                <w:sz w:val="24"/>
                <w:szCs w:val="24"/>
              </w:rPr>
              <w:t>麦格理（</w:t>
            </w:r>
            <w:r>
              <w:rPr>
                <w:rFonts w:ascii="Times New Roman" w:eastAsiaTheme="minorEastAsia" w:hAnsi="Times New Roman" w:hint="eastAsia"/>
                <w:kern w:val="0"/>
                <w:sz w:val="24"/>
                <w:szCs w:val="24"/>
              </w:rPr>
              <w:t>2</w:t>
            </w:r>
            <w:r>
              <w:rPr>
                <w:rFonts w:ascii="Times New Roman" w:eastAsiaTheme="minorEastAsia" w:hAnsi="Times New Roman"/>
                <w:kern w:val="0"/>
                <w:sz w:val="24"/>
                <w:szCs w:val="24"/>
              </w:rPr>
              <w:t>5%</w:t>
            </w:r>
            <w:r>
              <w:rPr>
                <w:rFonts w:ascii="Times New Roman" w:eastAsiaTheme="minorEastAsia" w:hAnsi="Times New Roman" w:hint="eastAsia"/>
                <w:kern w:val="0"/>
                <w:sz w:val="24"/>
                <w:szCs w:val="24"/>
              </w:rPr>
              <w:t>）</w:t>
            </w:r>
            <w:r w:rsidR="00AF6A4E">
              <w:rPr>
                <w:rFonts w:ascii="Times New Roman" w:eastAsiaTheme="minorEastAsia" w:hAnsi="Times New Roman" w:hint="eastAsia"/>
                <w:kern w:val="0"/>
                <w:sz w:val="24"/>
                <w:szCs w:val="24"/>
              </w:rPr>
              <w:t>共同控制。</w:t>
            </w:r>
            <w:r w:rsidR="00713E33" w:rsidRPr="002D2C5B">
              <w:rPr>
                <w:rFonts w:ascii="Times New Roman" w:eastAsiaTheme="minorEastAsia" w:hAnsi="Times New Roman"/>
                <w:color w:val="000000"/>
                <w:sz w:val="24"/>
                <w:szCs w:val="24"/>
              </w:rPr>
              <w:t>拟议交易后，目标公司将</w:t>
            </w:r>
            <w:proofErr w:type="gramStart"/>
            <w:r w:rsidR="00713E33" w:rsidRPr="002D2C5B">
              <w:rPr>
                <w:rFonts w:ascii="Times New Roman" w:eastAsiaTheme="minorEastAsia" w:hAnsi="Times New Roman"/>
                <w:color w:val="000000"/>
                <w:sz w:val="24"/>
                <w:szCs w:val="24"/>
              </w:rPr>
              <w:t>由</w:t>
            </w:r>
            <w:r w:rsidR="001124F5" w:rsidRPr="002D2C5B">
              <w:rPr>
                <w:rFonts w:ascii="Times New Roman" w:eastAsiaTheme="minorEastAsia" w:hAnsi="Times New Roman"/>
                <w:kern w:val="0"/>
                <w:sz w:val="24"/>
                <w:szCs w:val="24"/>
              </w:rPr>
              <w:t>沃旭</w:t>
            </w:r>
            <w:proofErr w:type="gramEnd"/>
            <w:r w:rsidR="001124F5" w:rsidRPr="002D2C5B">
              <w:rPr>
                <w:rFonts w:ascii="Times New Roman" w:eastAsiaTheme="minorEastAsia" w:hAnsi="Times New Roman"/>
                <w:kern w:val="0"/>
                <w:sz w:val="24"/>
                <w:szCs w:val="24"/>
              </w:rPr>
              <w:t>投资（</w:t>
            </w:r>
            <w:r w:rsidR="007D2783" w:rsidRPr="002D2C5B">
              <w:rPr>
                <w:rFonts w:ascii="Times New Roman" w:eastAsiaTheme="minorEastAsia" w:hAnsi="Times New Roman"/>
                <w:kern w:val="0"/>
                <w:sz w:val="24"/>
                <w:szCs w:val="24"/>
              </w:rPr>
              <w:t>35%</w:t>
            </w:r>
            <w:r w:rsidR="001124F5" w:rsidRPr="002D2C5B">
              <w:rPr>
                <w:rFonts w:ascii="Times New Roman" w:eastAsiaTheme="minorEastAsia" w:hAnsi="Times New Roman"/>
                <w:kern w:val="0"/>
                <w:sz w:val="24"/>
                <w:szCs w:val="24"/>
              </w:rPr>
              <w:t>）、上</w:t>
            </w:r>
            <w:proofErr w:type="gramStart"/>
            <w:r w:rsidR="001124F5" w:rsidRPr="002D2C5B">
              <w:rPr>
                <w:rFonts w:ascii="Times New Roman" w:eastAsiaTheme="minorEastAsia" w:hAnsi="Times New Roman"/>
                <w:kern w:val="0"/>
                <w:sz w:val="24"/>
                <w:szCs w:val="24"/>
              </w:rPr>
              <w:t>纬</w:t>
            </w:r>
            <w:r w:rsidR="002E36E3">
              <w:rPr>
                <w:rFonts w:ascii="Times New Roman" w:eastAsiaTheme="minorEastAsia" w:hAnsi="Times New Roman" w:hint="eastAsia"/>
                <w:kern w:val="0"/>
                <w:sz w:val="24"/>
                <w:szCs w:val="24"/>
              </w:rPr>
              <w:t>投控</w:t>
            </w:r>
            <w:proofErr w:type="gramEnd"/>
            <w:r w:rsidR="001124F5" w:rsidRPr="002D2C5B">
              <w:rPr>
                <w:rFonts w:ascii="Times New Roman" w:eastAsiaTheme="minorEastAsia" w:hAnsi="Times New Roman"/>
                <w:kern w:val="0"/>
                <w:sz w:val="24"/>
                <w:szCs w:val="24"/>
              </w:rPr>
              <w:t>（</w:t>
            </w:r>
            <w:r w:rsidR="007D2783" w:rsidRPr="002D2C5B">
              <w:rPr>
                <w:rFonts w:ascii="Times New Roman" w:eastAsiaTheme="minorEastAsia" w:hAnsi="Times New Roman"/>
                <w:kern w:val="0"/>
                <w:sz w:val="24"/>
                <w:szCs w:val="24"/>
              </w:rPr>
              <w:t>7.5%</w:t>
            </w:r>
            <w:r w:rsidR="001124F5" w:rsidRPr="002D2C5B">
              <w:rPr>
                <w:rFonts w:ascii="Times New Roman" w:eastAsiaTheme="minorEastAsia" w:hAnsi="Times New Roman"/>
                <w:kern w:val="0"/>
                <w:sz w:val="24"/>
                <w:szCs w:val="24"/>
              </w:rPr>
              <w:t>）</w:t>
            </w:r>
            <w:r w:rsidR="007D2783" w:rsidRPr="002D2C5B">
              <w:rPr>
                <w:rFonts w:ascii="Times New Roman" w:eastAsiaTheme="minorEastAsia" w:hAnsi="Times New Roman"/>
                <w:kern w:val="0"/>
                <w:sz w:val="24"/>
                <w:szCs w:val="24"/>
              </w:rPr>
              <w:t>、</w:t>
            </w:r>
            <w:r w:rsidR="001124F5" w:rsidRPr="002D2C5B">
              <w:rPr>
                <w:rFonts w:ascii="Times New Roman" w:eastAsiaTheme="minorEastAsia" w:hAnsi="Times New Roman"/>
                <w:kern w:val="0"/>
                <w:sz w:val="24"/>
                <w:szCs w:val="24"/>
              </w:rPr>
              <w:t>JERA</w:t>
            </w:r>
            <w:r w:rsidR="007D2783" w:rsidRPr="002D2C5B">
              <w:rPr>
                <w:rFonts w:ascii="Times New Roman" w:eastAsiaTheme="minorEastAsia" w:hAnsi="Times New Roman"/>
                <w:kern w:val="0"/>
                <w:sz w:val="24"/>
                <w:szCs w:val="24"/>
              </w:rPr>
              <w:t>（</w:t>
            </w:r>
            <w:r w:rsidR="007D2783" w:rsidRPr="002D2C5B">
              <w:rPr>
                <w:rFonts w:ascii="Times New Roman" w:eastAsiaTheme="minorEastAsia" w:hAnsi="Times New Roman"/>
                <w:kern w:val="0"/>
                <w:sz w:val="24"/>
                <w:szCs w:val="24"/>
              </w:rPr>
              <w:t>32.5%</w:t>
            </w:r>
            <w:r w:rsidR="007D2783" w:rsidRPr="002D2C5B">
              <w:rPr>
                <w:rFonts w:ascii="Times New Roman" w:eastAsiaTheme="minorEastAsia" w:hAnsi="Times New Roman"/>
                <w:kern w:val="0"/>
                <w:sz w:val="24"/>
                <w:szCs w:val="24"/>
              </w:rPr>
              <w:t>）</w:t>
            </w:r>
            <w:r w:rsidR="001124F5" w:rsidRPr="002D2C5B">
              <w:rPr>
                <w:rFonts w:ascii="Times New Roman" w:eastAsiaTheme="minorEastAsia" w:hAnsi="Times New Roman"/>
                <w:kern w:val="0"/>
                <w:sz w:val="24"/>
                <w:szCs w:val="24"/>
              </w:rPr>
              <w:t>和</w:t>
            </w:r>
            <w:r w:rsidR="001124F5" w:rsidRPr="002D2C5B">
              <w:rPr>
                <w:rFonts w:ascii="Times New Roman" w:eastAsiaTheme="minorEastAsia" w:hAnsi="Times New Roman"/>
                <w:kern w:val="0"/>
                <w:sz w:val="24"/>
                <w:szCs w:val="24"/>
              </w:rPr>
              <w:t>SPC</w:t>
            </w:r>
            <w:r w:rsidR="007D2783" w:rsidRPr="002D2C5B">
              <w:rPr>
                <w:rFonts w:ascii="Times New Roman" w:eastAsiaTheme="minorEastAsia" w:hAnsi="Times New Roman"/>
                <w:kern w:val="0"/>
                <w:sz w:val="24"/>
                <w:szCs w:val="24"/>
              </w:rPr>
              <w:t>（</w:t>
            </w:r>
            <w:r w:rsidR="007D2783" w:rsidRPr="002D2C5B">
              <w:rPr>
                <w:rFonts w:ascii="Times New Roman" w:eastAsiaTheme="minorEastAsia" w:hAnsi="Times New Roman"/>
                <w:kern w:val="0"/>
                <w:sz w:val="24"/>
                <w:szCs w:val="24"/>
              </w:rPr>
              <w:t>25%</w:t>
            </w:r>
            <w:r w:rsidR="007D2783" w:rsidRPr="002D2C5B">
              <w:rPr>
                <w:rFonts w:ascii="Times New Roman" w:eastAsiaTheme="minorEastAsia" w:hAnsi="Times New Roman"/>
                <w:kern w:val="0"/>
                <w:sz w:val="24"/>
                <w:szCs w:val="24"/>
              </w:rPr>
              <w:t>，该</w:t>
            </w:r>
            <w:r w:rsidR="007D2783" w:rsidRPr="002D2C5B">
              <w:rPr>
                <w:rFonts w:ascii="Times New Roman" w:eastAsiaTheme="minorEastAsia" w:hAnsi="Times New Roman"/>
                <w:kern w:val="0"/>
                <w:sz w:val="24"/>
                <w:szCs w:val="24"/>
              </w:rPr>
              <w:t>SPC</w:t>
            </w:r>
            <w:r w:rsidR="007D2783" w:rsidRPr="002D2C5B">
              <w:rPr>
                <w:rFonts w:ascii="Times New Roman" w:eastAsiaTheme="minorEastAsia" w:hAnsi="Times New Roman"/>
                <w:kern w:val="0"/>
                <w:sz w:val="24"/>
                <w:szCs w:val="24"/>
              </w:rPr>
              <w:t>由商船三井、东邦燃气和北陆电力）</w:t>
            </w:r>
            <w:r w:rsidR="001124F5" w:rsidRPr="002D2C5B">
              <w:rPr>
                <w:rFonts w:ascii="Times New Roman" w:eastAsiaTheme="minorEastAsia" w:hAnsi="Times New Roman"/>
                <w:kern w:val="0"/>
                <w:sz w:val="24"/>
                <w:szCs w:val="24"/>
              </w:rPr>
              <w:t>共同控制。</w:t>
            </w:r>
          </w:p>
        </w:tc>
      </w:tr>
      <w:tr w:rsidR="00141B38" w:rsidRPr="002D2C5B" w14:paraId="687B1CBB" w14:textId="77777777" w:rsidTr="00E1347C">
        <w:trPr>
          <w:trHeight w:val="988"/>
        </w:trPr>
        <w:tc>
          <w:tcPr>
            <w:tcW w:w="1809" w:type="dxa"/>
            <w:vMerge w:val="restart"/>
            <w:shd w:val="clear" w:color="auto" w:fill="D9D9D9"/>
          </w:tcPr>
          <w:p w14:paraId="0F20F28F" w14:textId="77777777" w:rsidR="00141B38" w:rsidRPr="002D2C5B" w:rsidRDefault="00141B38" w:rsidP="002D2C5B">
            <w:pPr>
              <w:rPr>
                <w:rFonts w:ascii="Times New Roman" w:eastAsiaTheme="minorEastAsia" w:hAnsi="Times New Roman"/>
                <w:b/>
                <w:bCs/>
                <w:sz w:val="24"/>
                <w:szCs w:val="24"/>
              </w:rPr>
            </w:pPr>
            <w:r w:rsidRPr="002D2C5B">
              <w:rPr>
                <w:rFonts w:ascii="Times New Roman" w:eastAsiaTheme="minorEastAsia" w:hAnsi="Times New Roman"/>
                <w:b/>
                <w:bCs/>
                <w:sz w:val="24"/>
                <w:szCs w:val="24"/>
              </w:rPr>
              <w:t>参与集中的经营者简介</w:t>
            </w:r>
          </w:p>
        </w:tc>
        <w:tc>
          <w:tcPr>
            <w:tcW w:w="1796" w:type="dxa"/>
          </w:tcPr>
          <w:p w14:paraId="7E060461" w14:textId="1FAAD0E9" w:rsidR="00141B38" w:rsidRPr="002D2C5B" w:rsidRDefault="00141B38" w:rsidP="002D2C5B">
            <w:pPr>
              <w:pStyle w:val="ad"/>
              <w:numPr>
                <w:ilvl w:val="0"/>
                <w:numId w:val="17"/>
              </w:numPr>
              <w:ind w:left="357" w:firstLineChars="0" w:hanging="357"/>
              <w:rPr>
                <w:rFonts w:ascii="Times New Roman" w:eastAsiaTheme="minorEastAsia" w:hAnsi="Times New Roman"/>
                <w:sz w:val="24"/>
                <w:szCs w:val="24"/>
              </w:rPr>
            </w:pPr>
            <w:r w:rsidRPr="002D2C5B">
              <w:rPr>
                <w:rFonts w:ascii="Times New Roman" w:eastAsiaTheme="minorEastAsia" w:hAnsi="Times New Roman"/>
                <w:sz w:val="24"/>
                <w:szCs w:val="24"/>
              </w:rPr>
              <w:t>商船三井</w:t>
            </w:r>
          </w:p>
        </w:tc>
        <w:tc>
          <w:tcPr>
            <w:tcW w:w="4754" w:type="dxa"/>
          </w:tcPr>
          <w:p w14:paraId="47E2F26D" w14:textId="6CE5E5B2" w:rsidR="00141B38" w:rsidRPr="002D2C5B" w:rsidRDefault="00141B38" w:rsidP="00A215BF">
            <w:pPr>
              <w:rPr>
                <w:rFonts w:ascii="Times New Roman" w:eastAsiaTheme="minorEastAsia" w:hAnsi="Times New Roman"/>
                <w:sz w:val="24"/>
                <w:szCs w:val="24"/>
              </w:rPr>
            </w:pPr>
            <w:r w:rsidRPr="002D2C5B">
              <w:rPr>
                <w:rFonts w:ascii="Times New Roman" w:eastAsiaTheme="minorEastAsia" w:hAnsi="Times New Roman"/>
                <w:sz w:val="24"/>
                <w:szCs w:val="24"/>
              </w:rPr>
              <w:t>商船</w:t>
            </w:r>
            <w:proofErr w:type="gramStart"/>
            <w:r w:rsidRPr="002D2C5B">
              <w:rPr>
                <w:rFonts w:ascii="Times New Roman" w:eastAsiaTheme="minorEastAsia" w:hAnsi="Times New Roman"/>
                <w:sz w:val="24"/>
                <w:szCs w:val="24"/>
              </w:rPr>
              <w:t>三井于</w:t>
            </w:r>
            <w:r w:rsidRPr="002D2C5B">
              <w:rPr>
                <w:rFonts w:ascii="Times New Roman" w:eastAsiaTheme="minorEastAsia" w:hAnsi="Times New Roman"/>
                <w:sz w:val="24"/>
                <w:szCs w:val="24"/>
              </w:rPr>
              <w:t>1942</w:t>
            </w:r>
            <w:r w:rsidRPr="002D2C5B">
              <w:rPr>
                <w:rFonts w:ascii="Times New Roman" w:eastAsiaTheme="minorEastAsia" w:hAnsi="Times New Roman"/>
                <w:sz w:val="24"/>
                <w:szCs w:val="24"/>
              </w:rPr>
              <w:t>年</w:t>
            </w:r>
            <w:r w:rsidRPr="002D2C5B">
              <w:rPr>
                <w:rFonts w:ascii="Times New Roman" w:eastAsiaTheme="minorEastAsia" w:hAnsi="Times New Roman"/>
                <w:sz w:val="24"/>
                <w:szCs w:val="24"/>
              </w:rPr>
              <w:t>12</w:t>
            </w:r>
            <w:r w:rsidRPr="002D2C5B">
              <w:rPr>
                <w:rFonts w:ascii="Times New Roman" w:eastAsiaTheme="minorEastAsia" w:hAnsi="Times New Roman"/>
                <w:sz w:val="24"/>
                <w:szCs w:val="24"/>
              </w:rPr>
              <w:t>月</w:t>
            </w:r>
            <w:r w:rsidRPr="002D2C5B">
              <w:rPr>
                <w:rFonts w:ascii="Times New Roman" w:eastAsiaTheme="minorEastAsia" w:hAnsi="Times New Roman"/>
                <w:sz w:val="24"/>
                <w:szCs w:val="24"/>
              </w:rPr>
              <w:t>28</w:t>
            </w:r>
            <w:r w:rsidRPr="002D2C5B">
              <w:rPr>
                <w:rFonts w:ascii="Times New Roman" w:eastAsiaTheme="minorEastAsia" w:hAnsi="Times New Roman"/>
                <w:sz w:val="24"/>
                <w:szCs w:val="24"/>
              </w:rPr>
              <w:t>日</w:t>
            </w:r>
            <w:proofErr w:type="gramEnd"/>
            <w:r w:rsidRPr="002D2C5B">
              <w:rPr>
                <w:rFonts w:ascii="Times New Roman" w:eastAsiaTheme="minorEastAsia" w:hAnsi="Times New Roman"/>
                <w:sz w:val="24"/>
                <w:szCs w:val="24"/>
              </w:rPr>
              <w:t>在日本成立，其从事多个</w:t>
            </w:r>
            <w:r w:rsidR="00E43351" w:rsidRPr="002D2C5B">
              <w:rPr>
                <w:rFonts w:ascii="Times New Roman" w:eastAsiaTheme="minorEastAsia" w:hAnsi="Times New Roman"/>
                <w:sz w:val="24"/>
                <w:szCs w:val="24"/>
              </w:rPr>
              <w:t>运输</w:t>
            </w:r>
            <w:r w:rsidRPr="002D2C5B">
              <w:rPr>
                <w:rFonts w:ascii="Times New Roman" w:eastAsiaTheme="minorEastAsia" w:hAnsi="Times New Roman"/>
                <w:sz w:val="24"/>
                <w:szCs w:val="24"/>
              </w:rPr>
              <w:t>领域，包括干散货船，如铁矿石运输船、煤炭运输船和木片运输船，运输原油的油轮，液化天然气</w:t>
            </w:r>
            <w:r w:rsidR="00E43351" w:rsidRPr="002D2C5B">
              <w:rPr>
                <w:rFonts w:ascii="Times New Roman" w:eastAsiaTheme="minorEastAsia" w:hAnsi="Times New Roman"/>
                <w:sz w:val="24"/>
                <w:szCs w:val="24"/>
              </w:rPr>
              <w:t>运输</w:t>
            </w:r>
            <w:r w:rsidRPr="002D2C5B">
              <w:rPr>
                <w:rFonts w:ascii="Times New Roman" w:eastAsiaTheme="minorEastAsia" w:hAnsi="Times New Roman"/>
                <w:sz w:val="24"/>
                <w:szCs w:val="24"/>
              </w:rPr>
              <w:t>船，汽车运输船，以及作为多式联运集团的集装箱船。</w:t>
            </w:r>
            <w:r w:rsidR="005A321F" w:rsidRPr="002D2C5B">
              <w:rPr>
                <w:rFonts w:ascii="Times New Roman" w:eastAsiaTheme="minorEastAsia" w:hAnsi="Times New Roman"/>
                <w:sz w:val="24"/>
                <w:szCs w:val="24"/>
              </w:rPr>
              <w:t>商船三井</w:t>
            </w:r>
            <w:proofErr w:type="gramStart"/>
            <w:r w:rsidR="005A321F" w:rsidRPr="002D2C5B">
              <w:rPr>
                <w:rFonts w:ascii="Times New Roman" w:eastAsiaTheme="minorEastAsia" w:hAnsi="Times New Roman"/>
                <w:sz w:val="24"/>
                <w:szCs w:val="24"/>
              </w:rPr>
              <w:t>无最终</w:t>
            </w:r>
            <w:proofErr w:type="gramEnd"/>
            <w:r w:rsidR="005A321F" w:rsidRPr="002D2C5B">
              <w:rPr>
                <w:rFonts w:ascii="Times New Roman" w:eastAsiaTheme="minorEastAsia" w:hAnsi="Times New Roman"/>
                <w:sz w:val="24"/>
                <w:szCs w:val="24"/>
              </w:rPr>
              <w:t>控制人。</w:t>
            </w:r>
          </w:p>
        </w:tc>
      </w:tr>
      <w:tr w:rsidR="00141B38" w:rsidRPr="002D2C5B" w14:paraId="7DB5275E" w14:textId="77777777" w:rsidTr="00E1347C">
        <w:trPr>
          <w:trHeight w:val="404"/>
        </w:trPr>
        <w:tc>
          <w:tcPr>
            <w:tcW w:w="1809" w:type="dxa"/>
            <w:vMerge/>
            <w:shd w:val="clear" w:color="auto" w:fill="D9D9D9"/>
          </w:tcPr>
          <w:p w14:paraId="560A29AB" w14:textId="77777777" w:rsidR="00141B38" w:rsidRPr="002D2C5B" w:rsidRDefault="00141B38" w:rsidP="002D2C5B">
            <w:pPr>
              <w:rPr>
                <w:rFonts w:ascii="Times New Roman" w:eastAsiaTheme="minorEastAsia" w:hAnsi="Times New Roman"/>
                <w:sz w:val="24"/>
                <w:szCs w:val="24"/>
              </w:rPr>
            </w:pPr>
          </w:p>
        </w:tc>
        <w:tc>
          <w:tcPr>
            <w:tcW w:w="1796" w:type="dxa"/>
          </w:tcPr>
          <w:p w14:paraId="5EED6900" w14:textId="3D7C8195" w:rsidR="00141B38" w:rsidRPr="002D2C5B" w:rsidRDefault="00141B38" w:rsidP="002D2C5B">
            <w:pPr>
              <w:pStyle w:val="ad"/>
              <w:numPr>
                <w:ilvl w:val="0"/>
                <w:numId w:val="17"/>
              </w:numPr>
              <w:ind w:firstLineChars="0"/>
              <w:rPr>
                <w:rFonts w:ascii="Times New Roman" w:eastAsiaTheme="minorEastAsia" w:hAnsi="Times New Roman"/>
                <w:sz w:val="24"/>
                <w:szCs w:val="24"/>
              </w:rPr>
            </w:pPr>
            <w:r w:rsidRPr="002D2C5B">
              <w:rPr>
                <w:rFonts w:ascii="Times New Roman" w:eastAsiaTheme="minorEastAsia" w:hAnsi="Times New Roman"/>
                <w:sz w:val="24"/>
                <w:szCs w:val="24"/>
              </w:rPr>
              <w:t>东邦燃气</w:t>
            </w:r>
          </w:p>
        </w:tc>
        <w:tc>
          <w:tcPr>
            <w:tcW w:w="4754" w:type="dxa"/>
          </w:tcPr>
          <w:p w14:paraId="54E203B5" w14:textId="6E7E2453" w:rsidR="005A321F" w:rsidRPr="002D2C5B" w:rsidRDefault="00E43351" w:rsidP="00A215BF">
            <w:pPr>
              <w:rPr>
                <w:rFonts w:ascii="Times New Roman" w:eastAsiaTheme="minorEastAsia" w:hAnsi="Times New Roman"/>
                <w:color w:val="000000"/>
                <w:sz w:val="24"/>
                <w:szCs w:val="24"/>
              </w:rPr>
            </w:pPr>
            <w:r w:rsidRPr="002D2C5B">
              <w:rPr>
                <w:rFonts w:ascii="Times New Roman" w:eastAsiaTheme="minorEastAsia" w:hAnsi="Times New Roman"/>
                <w:color w:val="000000"/>
                <w:sz w:val="24"/>
                <w:szCs w:val="24"/>
              </w:rPr>
              <w:t>东邦燃气于</w:t>
            </w:r>
            <w:r w:rsidRPr="002D2C5B">
              <w:rPr>
                <w:rFonts w:ascii="Times New Roman" w:eastAsiaTheme="minorEastAsia" w:hAnsi="Times New Roman"/>
                <w:color w:val="000000"/>
                <w:sz w:val="24"/>
                <w:szCs w:val="24"/>
              </w:rPr>
              <w:t>1922</w:t>
            </w:r>
            <w:r w:rsidRPr="002D2C5B">
              <w:rPr>
                <w:rFonts w:ascii="Times New Roman" w:eastAsiaTheme="minorEastAsia" w:hAnsi="Times New Roman"/>
                <w:color w:val="000000"/>
                <w:sz w:val="24"/>
                <w:szCs w:val="24"/>
              </w:rPr>
              <w:t>年</w:t>
            </w:r>
            <w:r w:rsidRPr="002D2C5B">
              <w:rPr>
                <w:rFonts w:ascii="Times New Roman" w:eastAsiaTheme="minorEastAsia" w:hAnsi="Times New Roman"/>
                <w:color w:val="000000"/>
                <w:sz w:val="24"/>
                <w:szCs w:val="24"/>
              </w:rPr>
              <w:t>6</w:t>
            </w:r>
            <w:r w:rsidRPr="002D2C5B">
              <w:rPr>
                <w:rFonts w:ascii="Times New Roman" w:eastAsiaTheme="minorEastAsia" w:hAnsi="Times New Roman"/>
                <w:color w:val="000000"/>
                <w:sz w:val="24"/>
                <w:szCs w:val="24"/>
              </w:rPr>
              <w:t>月</w:t>
            </w:r>
            <w:r w:rsidRPr="002D2C5B">
              <w:rPr>
                <w:rFonts w:ascii="Times New Roman" w:eastAsiaTheme="minorEastAsia" w:hAnsi="Times New Roman"/>
                <w:color w:val="000000"/>
                <w:sz w:val="24"/>
                <w:szCs w:val="24"/>
              </w:rPr>
              <w:t>26</w:t>
            </w:r>
            <w:r w:rsidRPr="002D2C5B">
              <w:rPr>
                <w:rFonts w:ascii="Times New Roman" w:eastAsiaTheme="minorEastAsia" w:hAnsi="Times New Roman"/>
                <w:color w:val="000000"/>
                <w:sz w:val="24"/>
                <w:szCs w:val="24"/>
              </w:rPr>
              <w:t>日在日本成立。其主要业务包括但不限于天然气业务，供热业务和电力供应业务。</w:t>
            </w:r>
            <w:r w:rsidR="005A321F" w:rsidRPr="002D2C5B">
              <w:rPr>
                <w:rFonts w:ascii="Times New Roman" w:eastAsiaTheme="minorEastAsia" w:hAnsi="Times New Roman"/>
                <w:color w:val="000000"/>
                <w:sz w:val="24"/>
                <w:szCs w:val="24"/>
              </w:rPr>
              <w:t>东邦燃气</w:t>
            </w:r>
            <w:proofErr w:type="gramStart"/>
            <w:r w:rsidR="005A321F" w:rsidRPr="002D2C5B">
              <w:rPr>
                <w:rFonts w:ascii="Times New Roman" w:eastAsiaTheme="minorEastAsia" w:hAnsi="Times New Roman"/>
                <w:color w:val="000000"/>
                <w:sz w:val="24"/>
                <w:szCs w:val="24"/>
              </w:rPr>
              <w:t>无最终</w:t>
            </w:r>
            <w:proofErr w:type="gramEnd"/>
            <w:r w:rsidR="005A321F" w:rsidRPr="002D2C5B">
              <w:rPr>
                <w:rFonts w:ascii="Times New Roman" w:eastAsiaTheme="minorEastAsia" w:hAnsi="Times New Roman"/>
                <w:color w:val="000000"/>
                <w:sz w:val="24"/>
                <w:szCs w:val="24"/>
              </w:rPr>
              <w:t>控制人。</w:t>
            </w:r>
          </w:p>
        </w:tc>
      </w:tr>
      <w:tr w:rsidR="00141B38" w:rsidRPr="002D2C5B" w14:paraId="25A9329B" w14:textId="77777777" w:rsidTr="00E1347C">
        <w:trPr>
          <w:trHeight w:val="404"/>
        </w:trPr>
        <w:tc>
          <w:tcPr>
            <w:tcW w:w="1809" w:type="dxa"/>
            <w:vMerge/>
            <w:shd w:val="clear" w:color="auto" w:fill="D9D9D9"/>
          </w:tcPr>
          <w:p w14:paraId="1D1504CB" w14:textId="77777777" w:rsidR="00141B38" w:rsidRPr="002D2C5B" w:rsidRDefault="00141B38" w:rsidP="002D2C5B">
            <w:pPr>
              <w:rPr>
                <w:rFonts w:ascii="Times New Roman" w:eastAsiaTheme="minorEastAsia" w:hAnsi="Times New Roman"/>
                <w:sz w:val="24"/>
                <w:szCs w:val="24"/>
              </w:rPr>
            </w:pPr>
          </w:p>
        </w:tc>
        <w:tc>
          <w:tcPr>
            <w:tcW w:w="1796" w:type="dxa"/>
          </w:tcPr>
          <w:p w14:paraId="4A65A042" w14:textId="08881B97" w:rsidR="00141B38" w:rsidRPr="002D2C5B" w:rsidRDefault="00141B38" w:rsidP="002D2C5B">
            <w:pPr>
              <w:pStyle w:val="ad"/>
              <w:numPr>
                <w:ilvl w:val="0"/>
                <w:numId w:val="17"/>
              </w:numPr>
              <w:ind w:firstLineChars="0"/>
              <w:rPr>
                <w:rFonts w:ascii="Times New Roman" w:eastAsiaTheme="minorEastAsia" w:hAnsi="Times New Roman"/>
                <w:sz w:val="24"/>
                <w:szCs w:val="24"/>
              </w:rPr>
            </w:pPr>
            <w:r w:rsidRPr="002D2C5B">
              <w:rPr>
                <w:rFonts w:ascii="Times New Roman" w:eastAsiaTheme="minorEastAsia" w:hAnsi="Times New Roman"/>
                <w:sz w:val="24"/>
                <w:szCs w:val="24"/>
              </w:rPr>
              <w:t>北陆电力</w:t>
            </w:r>
          </w:p>
        </w:tc>
        <w:tc>
          <w:tcPr>
            <w:tcW w:w="4754" w:type="dxa"/>
          </w:tcPr>
          <w:p w14:paraId="37C1ECE1" w14:textId="77658B13" w:rsidR="005A321F" w:rsidRPr="002D2C5B" w:rsidRDefault="00E43351" w:rsidP="00A215BF">
            <w:pPr>
              <w:rPr>
                <w:rFonts w:ascii="Times New Roman" w:eastAsiaTheme="minorEastAsia" w:hAnsi="Times New Roman"/>
                <w:color w:val="000000"/>
                <w:sz w:val="24"/>
                <w:szCs w:val="24"/>
              </w:rPr>
            </w:pPr>
            <w:r w:rsidRPr="002D2C5B">
              <w:rPr>
                <w:rFonts w:ascii="Times New Roman" w:eastAsiaTheme="minorEastAsia" w:hAnsi="Times New Roman"/>
                <w:color w:val="000000"/>
                <w:sz w:val="24"/>
                <w:szCs w:val="24"/>
              </w:rPr>
              <w:t>北陆电力于</w:t>
            </w:r>
            <w:r w:rsidRPr="002D2C5B">
              <w:rPr>
                <w:rFonts w:ascii="Times New Roman" w:eastAsiaTheme="minorEastAsia" w:hAnsi="Times New Roman"/>
                <w:color w:val="000000"/>
                <w:sz w:val="24"/>
                <w:szCs w:val="24"/>
              </w:rPr>
              <w:t>1951</w:t>
            </w:r>
            <w:r w:rsidRPr="002D2C5B">
              <w:rPr>
                <w:rFonts w:ascii="Times New Roman" w:eastAsiaTheme="minorEastAsia" w:hAnsi="Times New Roman"/>
                <w:color w:val="000000"/>
                <w:sz w:val="24"/>
                <w:szCs w:val="24"/>
              </w:rPr>
              <w:t>年</w:t>
            </w:r>
            <w:r w:rsidRPr="002D2C5B">
              <w:rPr>
                <w:rFonts w:ascii="Times New Roman" w:eastAsiaTheme="minorEastAsia" w:hAnsi="Times New Roman"/>
                <w:color w:val="000000"/>
                <w:sz w:val="24"/>
                <w:szCs w:val="24"/>
              </w:rPr>
              <w:t>5</w:t>
            </w:r>
            <w:r w:rsidRPr="002D2C5B">
              <w:rPr>
                <w:rFonts w:ascii="Times New Roman" w:eastAsiaTheme="minorEastAsia" w:hAnsi="Times New Roman"/>
                <w:color w:val="000000"/>
                <w:sz w:val="24"/>
                <w:szCs w:val="24"/>
              </w:rPr>
              <w:t>月</w:t>
            </w:r>
            <w:r w:rsidRPr="002D2C5B">
              <w:rPr>
                <w:rFonts w:ascii="Times New Roman" w:eastAsiaTheme="minorEastAsia" w:hAnsi="Times New Roman"/>
                <w:color w:val="000000"/>
                <w:sz w:val="24"/>
                <w:szCs w:val="24"/>
              </w:rPr>
              <w:t>1</w:t>
            </w:r>
            <w:r w:rsidRPr="002D2C5B">
              <w:rPr>
                <w:rFonts w:ascii="Times New Roman" w:eastAsiaTheme="minorEastAsia" w:hAnsi="Times New Roman"/>
                <w:color w:val="000000"/>
                <w:sz w:val="24"/>
                <w:szCs w:val="24"/>
              </w:rPr>
              <w:t>日在日本成立。</w:t>
            </w:r>
            <w:r w:rsidR="00D52E4F" w:rsidRPr="002D2C5B">
              <w:rPr>
                <w:rFonts w:ascii="Times New Roman" w:eastAsiaTheme="minorEastAsia" w:hAnsi="Times New Roman"/>
                <w:color w:val="000000"/>
                <w:sz w:val="24"/>
                <w:szCs w:val="24"/>
              </w:rPr>
              <w:t>其</w:t>
            </w:r>
            <w:r w:rsidRPr="002D2C5B">
              <w:rPr>
                <w:rFonts w:ascii="Times New Roman" w:eastAsiaTheme="minorEastAsia" w:hAnsi="Times New Roman"/>
                <w:color w:val="000000"/>
                <w:sz w:val="24"/>
                <w:szCs w:val="24"/>
              </w:rPr>
              <w:t>主要</w:t>
            </w:r>
            <w:r w:rsidR="00D52E4F" w:rsidRPr="002D2C5B">
              <w:rPr>
                <w:rFonts w:ascii="Times New Roman" w:eastAsiaTheme="minorEastAsia" w:hAnsi="Times New Roman"/>
                <w:color w:val="000000"/>
                <w:sz w:val="24"/>
                <w:szCs w:val="24"/>
              </w:rPr>
              <w:t>向</w:t>
            </w:r>
            <w:r w:rsidRPr="002D2C5B">
              <w:rPr>
                <w:rFonts w:ascii="Times New Roman" w:eastAsiaTheme="minorEastAsia" w:hAnsi="Times New Roman"/>
                <w:color w:val="000000"/>
                <w:sz w:val="24"/>
                <w:szCs w:val="24"/>
              </w:rPr>
              <w:t>日本的福井、石川和富山三县</w:t>
            </w:r>
            <w:r w:rsidR="00D52E4F" w:rsidRPr="002D2C5B">
              <w:rPr>
                <w:rFonts w:ascii="Times New Roman" w:eastAsiaTheme="minorEastAsia" w:hAnsi="Times New Roman"/>
                <w:color w:val="000000"/>
                <w:sz w:val="24"/>
                <w:szCs w:val="24"/>
              </w:rPr>
              <w:t>供应</w:t>
            </w:r>
            <w:r w:rsidRPr="002D2C5B">
              <w:rPr>
                <w:rFonts w:ascii="Times New Roman" w:eastAsiaTheme="minorEastAsia" w:hAnsi="Times New Roman"/>
                <w:color w:val="000000"/>
                <w:sz w:val="24"/>
                <w:szCs w:val="24"/>
              </w:rPr>
              <w:t>电力。</w:t>
            </w:r>
            <w:r w:rsidR="005A321F" w:rsidRPr="002D2C5B">
              <w:rPr>
                <w:rFonts w:ascii="Times New Roman" w:eastAsiaTheme="minorEastAsia" w:hAnsi="Times New Roman"/>
                <w:color w:val="000000"/>
                <w:sz w:val="24"/>
                <w:szCs w:val="24"/>
              </w:rPr>
              <w:t>北陆电力</w:t>
            </w:r>
            <w:proofErr w:type="gramStart"/>
            <w:r w:rsidR="005A321F" w:rsidRPr="002D2C5B">
              <w:rPr>
                <w:rFonts w:ascii="Times New Roman" w:eastAsiaTheme="minorEastAsia" w:hAnsi="Times New Roman"/>
                <w:color w:val="000000"/>
                <w:sz w:val="24"/>
                <w:szCs w:val="24"/>
              </w:rPr>
              <w:t>无最终</w:t>
            </w:r>
            <w:proofErr w:type="gramEnd"/>
            <w:r w:rsidR="005A321F" w:rsidRPr="002D2C5B">
              <w:rPr>
                <w:rFonts w:ascii="Times New Roman" w:eastAsiaTheme="minorEastAsia" w:hAnsi="Times New Roman"/>
                <w:color w:val="000000"/>
                <w:sz w:val="24"/>
                <w:szCs w:val="24"/>
              </w:rPr>
              <w:t>控制人。</w:t>
            </w:r>
          </w:p>
        </w:tc>
      </w:tr>
      <w:tr w:rsidR="00141B38" w:rsidRPr="002D2C5B" w14:paraId="6C66F2B0" w14:textId="77777777" w:rsidTr="00E1347C">
        <w:trPr>
          <w:trHeight w:val="404"/>
        </w:trPr>
        <w:tc>
          <w:tcPr>
            <w:tcW w:w="1809" w:type="dxa"/>
            <w:vMerge/>
            <w:shd w:val="clear" w:color="auto" w:fill="D9D9D9"/>
          </w:tcPr>
          <w:p w14:paraId="7B0C15C7" w14:textId="77777777" w:rsidR="00141B38" w:rsidRPr="002D2C5B" w:rsidRDefault="00141B38" w:rsidP="002D2C5B">
            <w:pPr>
              <w:rPr>
                <w:rFonts w:ascii="Times New Roman" w:eastAsiaTheme="minorEastAsia" w:hAnsi="Times New Roman"/>
                <w:sz w:val="24"/>
                <w:szCs w:val="24"/>
              </w:rPr>
            </w:pPr>
          </w:p>
        </w:tc>
        <w:tc>
          <w:tcPr>
            <w:tcW w:w="1796" w:type="dxa"/>
          </w:tcPr>
          <w:p w14:paraId="19AC749F" w14:textId="00B2534F" w:rsidR="00141B38" w:rsidRPr="002D2C5B" w:rsidRDefault="00141B38" w:rsidP="002D2C5B">
            <w:pPr>
              <w:pStyle w:val="ad"/>
              <w:numPr>
                <w:ilvl w:val="0"/>
                <w:numId w:val="17"/>
              </w:numPr>
              <w:ind w:firstLineChars="0"/>
              <w:rPr>
                <w:rFonts w:ascii="Times New Roman" w:eastAsiaTheme="minorEastAsia" w:hAnsi="Times New Roman"/>
                <w:sz w:val="24"/>
                <w:szCs w:val="24"/>
              </w:rPr>
            </w:pPr>
            <w:proofErr w:type="gramStart"/>
            <w:r w:rsidRPr="002D2C5B">
              <w:rPr>
                <w:rFonts w:ascii="Times New Roman" w:eastAsiaTheme="minorEastAsia" w:hAnsi="Times New Roman"/>
                <w:sz w:val="24"/>
                <w:szCs w:val="24"/>
              </w:rPr>
              <w:t>沃旭投资</w:t>
            </w:r>
            <w:proofErr w:type="gramEnd"/>
          </w:p>
        </w:tc>
        <w:tc>
          <w:tcPr>
            <w:tcW w:w="4754" w:type="dxa"/>
          </w:tcPr>
          <w:p w14:paraId="0802BF06" w14:textId="366A49A9" w:rsidR="00141B38" w:rsidRPr="002D2C5B" w:rsidRDefault="00D52E4F" w:rsidP="00A215BF">
            <w:pPr>
              <w:rPr>
                <w:rFonts w:ascii="Times New Roman" w:eastAsiaTheme="minorEastAsia" w:hAnsi="Times New Roman"/>
                <w:color w:val="000000"/>
                <w:sz w:val="24"/>
                <w:szCs w:val="24"/>
              </w:rPr>
            </w:pPr>
            <w:proofErr w:type="gramStart"/>
            <w:r w:rsidRPr="002D2C5B">
              <w:rPr>
                <w:rFonts w:ascii="Times New Roman" w:eastAsiaTheme="minorEastAsia" w:hAnsi="Times New Roman"/>
                <w:color w:val="000000"/>
                <w:sz w:val="24"/>
                <w:szCs w:val="24"/>
              </w:rPr>
              <w:t>沃旭投资</w:t>
            </w:r>
            <w:proofErr w:type="gramEnd"/>
            <w:r w:rsidRPr="002D2C5B">
              <w:rPr>
                <w:rFonts w:ascii="Times New Roman" w:eastAsiaTheme="minorEastAsia" w:hAnsi="Times New Roman"/>
                <w:color w:val="000000"/>
                <w:sz w:val="24"/>
                <w:szCs w:val="24"/>
              </w:rPr>
              <w:t>于</w:t>
            </w:r>
            <w:r w:rsidRPr="002D2C5B">
              <w:rPr>
                <w:rFonts w:ascii="Times New Roman" w:eastAsiaTheme="minorEastAsia" w:hAnsi="Times New Roman"/>
                <w:color w:val="000000"/>
                <w:sz w:val="24"/>
                <w:szCs w:val="24"/>
              </w:rPr>
              <w:t>2016</w:t>
            </w:r>
            <w:r w:rsidRPr="002D2C5B">
              <w:rPr>
                <w:rFonts w:ascii="Times New Roman" w:eastAsiaTheme="minorEastAsia" w:hAnsi="Times New Roman"/>
                <w:color w:val="000000"/>
                <w:sz w:val="24"/>
                <w:szCs w:val="24"/>
              </w:rPr>
              <w:t>年</w:t>
            </w:r>
            <w:r w:rsidRPr="002D2C5B">
              <w:rPr>
                <w:rFonts w:ascii="Times New Roman" w:eastAsiaTheme="minorEastAsia" w:hAnsi="Times New Roman"/>
                <w:color w:val="000000"/>
                <w:sz w:val="24"/>
                <w:szCs w:val="24"/>
              </w:rPr>
              <w:t>12</w:t>
            </w:r>
            <w:r w:rsidRPr="002D2C5B">
              <w:rPr>
                <w:rFonts w:ascii="Times New Roman" w:eastAsiaTheme="minorEastAsia" w:hAnsi="Times New Roman"/>
                <w:color w:val="000000"/>
                <w:sz w:val="24"/>
                <w:szCs w:val="24"/>
              </w:rPr>
              <w:t>月</w:t>
            </w:r>
            <w:r w:rsidRPr="002D2C5B">
              <w:rPr>
                <w:rFonts w:ascii="Times New Roman" w:eastAsiaTheme="minorEastAsia" w:hAnsi="Times New Roman"/>
                <w:color w:val="000000"/>
                <w:sz w:val="24"/>
                <w:szCs w:val="24"/>
              </w:rPr>
              <w:t>9</w:t>
            </w:r>
            <w:r w:rsidRPr="002D2C5B">
              <w:rPr>
                <w:rFonts w:ascii="Times New Roman" w:eastAsiaTheme="minorEastAsia" w:hAnsi="Times New Roman"/>
                <w:color w:val="000000"/>
                <w:sz w:val="24"/>
                <w:szCs w:val="24"/>
              </w:rPr>
              <w:t>日在中国台湾注册成立。其最终控制</w:t>
            </w:r>
            <w:proofErr w:type="gramStart"/>
            <w:r w:rsidRPr="002D2C5B">
              <w:rPr>
                <w:rFonts w:ascii="Times New Roman" w:eastAsiaTheme="minorEastAsia" w:hAnsi="Times New Roman"/>
                <w:color w:val="000000"/>
                <w:sz w:val="24"/>
                <w:szCs w:val="24"/>
              </w:rPr>
              <w:t>人</w:t>
            </w:r>
            <w:r w:rsidRPr="002D2C5B">
              <w:rPr>
                <w:rFonts w:ascii="Times New Roman" w:eastAsiaTheme="minorEastAsia" w:hAnsi="Times New Roman"/>
                <w:sz w:val="24"/>
                <w:szCs w:val="24"/>
              </w:rPr>
              <w:t>沃旭股份有限公司</w:t>
            </w:r>
            <w:proofErr w:type="gramEnd"/>
            <w:r w:rsidRPr="002D2C5B">
              <w:rPr>
                <w:rFonts w:ascii="Times New Roman" w:eastAsiaTheme="minorEastAsia" w:hAnsi="Times New Roman"/>
                <w:color w:val="000000"/>
                <w:sz w:val="24"/>
                <w:szCs w:val="24"/>
              </w:rPr>
              <w:t>是一家在纳斯达克哥本哈根证券交易所上市的丹麦公司，主要从事海上和陆地风电场的开发、建设和运营</w:t>
            </w:r>
            <w:r w:rsidR="006844E9" w:rsidRPr="002D2C5B">
              <w:rPr>
                <w:rFonts w:ascii="Times New Roman" w:eastAsiaTheme="minorEastAsia" w:hAnsi="Times New Roman"/>
                <w:color w:val="000000"/>
                <w:sz w:val="24"/>
                <w:szCs w:val="24"/>
              </w:rPr>
              <w:t>，光伏发电、生物能源厂和创新的废物变能源解决方案，并向其客户提供智能能源产品。</w:t>
            </w:r>
          </w:p>
        </w:tc>
      </w:tr>
      <w:tr w:rsidR="00141B38" w:rsidRPr="002D2C5B" w14:paraId="0B9C2B53" w14:textId="77777777" w:rsidTr="00E1347C">
        <w:trPr>
          <w:trHeight w:val="404"/>
        </w:trPr>
        <w:tc>
          <w:tcPr>
            <w:tcW w:w="1809" w:type="dxa"/>
            <w:vMerge/>
            <w:shd w:val="clear" w:color="auto" w:fill="D9D9D9"/>
          </w:tcPr>
          <w:p w14:paraId="35C6B1AB" w14:textId="77777777" w:rsidR="00141B38" w:rsidRPr="002D2C5B" w:rsidRDefault="00141B38" w:rsidP="002D2C5B">
            <w:pPr>
              <w:rPr>
                <w:rFonts w:ascii="Times New Roman" w:eastAsiaTheme="minorEastAsia" w:hAnsi="Times New Roman"/>
                <w:sz w:val="24"/>
                <w:szCs w:val="24"/>
              </w:rPr>
            </w:pPr>
          </w:p>
        </w:tc>
        <w:tc>
          <w:tcPr>
            <w:tcW w:w="1796" w:type="dxa"/>
          </w:tcPr>
          <w:p w14:paraId="229ACA2F" w14:textId="138DB1BD" w:rsidR="00141B38" w:rsidRPr="002D2C5B" w:rsidRDefault="00141B38" w:rsidP="002D2C5B">
            <w:pPr>
              <w:pStyle w:val="ad"/>
              <w:numPr>
                <w:ilvl w:val="0"/>
                <w:numId w:val="17"/>
              </w:numPr>
              <w:ind w:firstLineChars="0"/>
              <w:rPr>
                <w:rFonts w:ascii="Times New Roman" w:eastAsiaTheme="minorEastAsia" w:hAnsi="Times New Roman"/>
                <w:sz w:val="24"/>
                <w:szCs w:val="24"/>
              </w:rPr>
            </w:pPr>
            <w:r w:rsidRPr="002D2C5B">
              <w:rPr>
                <w:rFonts w:ascii="Times New Roman" w:eastAsiaTheme="minorEastAsia" w:hAnsi="Times New Roman"/>
                <w:sz w:val="24"/>
                <w:szCs w:val="24"/>
              </w:rPr>
              <w:t>上</w:t>
            </w:r>
            <w:proofErr w:type="gramStart"/>
            <w:r w:rsidRPr="002D2C5B">
              <w:rPr>
                <w:rFonts w:ascii="Times New Roman" w:eastAsiaTheme="minorEastAsia" w:hAnsi="Times New Roman"/>
                <w:sz w:val="24"/>
                <w:szCs w:val="24"/>
              </w:rPr>
              <w:t>纬投控</w:t>
            </w:r>
            <w:proofErr w:type="gramEnd"/>
          </w:p>
        </w:tc>
        <w:tc>
          <w:tcPr>
            <w:tcW w:w="4754" w:type="dxa"/>
          </w:tcPr>
          <w:p w14:paraId="274B377B" w14:textId="46E148AC" w:rsidR="0064241C" w:rsidRPr="002D2C5B" w:rsidRDefault="0015686A" w:rsidP="00A215BF">
            <w:pPr>
              <w:rPr>
                <w:rFonts w:ascii="Times New Roman" w:eastAsiaTheme="minorEastAsia" w:hAnsi="Times New Roman"/>
                <w:color w:val="000000"/>
                <w:sz w:val="24"/>
                <w:szCs w:val="24"/>
              </w:rPr>
            </w:pPr>
            <w:r w:rsidRPr="002D2C5B">
              <w:rPr>
                <w:rFonts w:ascii="Times New Roman" w:eastAsiaTheme="minorEastAsia" w:hAnsi="Times New Roman"/>
                <w:color w:val="000000"/>
                <w:sz w:val="24"/>
                <w:szCs w:val="24"/>
              </w:rPr>
              <w:t>上</w:t>
            </w:r>
            <w:proofErr w:type="gramStart"/>
            <w:r w:rsidRPr="002D2C5B">
              <w:rPr>
                <w:rFonts w:ascii="Times New Roman" w:eastAsiaTheme="minorEastAsia" w:hAnsi="Times New Roman"/>
                <w:color w:val="000000"/>
                <w:sz w:val="24"/>
                <w:szCs w:val="24"/>
              </w:rPr>
              <w:t>纬投控于</w:t>
            </w:r>
            <w:proofErr w:type="gramEnd"/>
            <w:r w:rsidRPr="002D2C5B">
              <w:rPr>
                <w:rFonts w:ascii="Times New Roman" w:eastAsiaTheme="minorEastAsia" w:hAnsi="Times New Roman"/>
                <w:color w:val="000000"/>
                <w:sz w:val="24"/>
                <w:szCs w:val="24"/>
              </w:rPr>
              <w:t>2016</w:t>
            </w:r>
            <w:r w:rsidRPr="002D2C5B">
              <w:rPr>
                <w:rFonts w:ascii="Times New Roman" w:eastAsiaTheme="minorEastAsia" w:hAnsi="Times New Roman"/>
                <w:color w:val="000000"/>
                <w:sz w:val="24"/>
                <w:szCs w:val="24"/>
              </w:rPr>
              <w:t>年</w:t>
            </w:r>
            <w:r w:rsidRPr="002D2C5B">
              <w:rPr>
                <w:rFonts w:ascii="Times New Roman" w:eastAsiaTheme="minorEastAsia" w:hAnsi="Times New Roman"/>
                <w:color w:val="000000"/>
                <w:sz w:val="24"/>
                <w:szCs w:val="24"/>
              </w:rPr>
              <w:t>8</w:t>
            </w:r>
            <w:r w:rsidRPr="002D2C5B">
              <w:rPr>
                <w:rFonts w:ascii="Times New Roman" w:eastAsiaTheme="minorEastAsia" w:hAnsi="Times New Roman"/>
                <w:color w:val="000000"/>
                <w:sz w:val="24"/>
                <w:szCs w:val="24"/>
              </w:rPr>
              <w:t>月</w:t>
            </w:r>
            <w:r w:rsidRPr="002D2C5B">
              <w:rPr>
                <w:rFonts w:ascii="Times New Roman" w:eastAsiaTheme="minorEastAsia" w:hAnsi="Times New Roman"/>
                <w:color w:val="000000"/>
                <w:sz w:val="24"/>
                <w:szCs w:val="24"/>
              </w:rPr>
              <w:t>31</w:t>
            </w:r>
            <w:r w:rsidRPr="002D2C5B">
              <w:rPr>
                <w:rFonts w:ascii="Times New Roman" w:eastAsiaTheme="minorEastAsia" w:hAnsi="Times New Roman"/>
                <w:color w:val="000000"/>
                <w:sz w:val="24"/>
                <w:szCs w:val="24"/>
              </w:rPr>
              <w:t>日在中国台湾注册成立。其业务主要包括精细化工和碳纤维复合材料的生产。</w:t>
            </w:r>
            <w:r w:rsidR="0064241C" w:rsidRPr="002D2C5B">
              <w:rPr>
                <w:rFonts w:ascii="Times New Roman" w:eastAsiaTheme="minorEastAsia" w:hAnsi="Times New Roman"/>
                <w:color w:val="000000"/>
                <w:sz w:val="24"/>
                <w:szCs w:val="24"/>
              </w:rPr>
              <w:t>上</w:t>
            </w:r>
            <w:proofErr w:type="gramStart"/>
            <w:r w:rsidR="0064241C" w:rsidRPr="002D2C5B">
              <w:rPr>
                <w:rFonts w:ascii="Times New Roman" w:eastAsiaTheme="minorEastAsia" w:hAnsi="Times New Roman"/>
                <w:color w:val="000000"/>
                <w:sz w:val="24"/>
                <w:szCs w:val="24"/>
              </w:rPr>
              <w:t>纬投控无最终</w:t>
            </w:r>
            <w:proofErr w:type="gramEnd"/>
            <w:r w:rsidR="0064241C" w:rsidRPr="002D2C5B">
              <w:rPr>
                <w:rFonts w:ascii="Times New Roman" w:eastAsiaTheme="minorEastAsia" w:hAnsi="Times New Roman"/>
                <w:color w:val="000000"/>
                <w:sz w:val="24"/>
                <w:szCs w:val="24"/>
              </w:rPr>
              <w:t>控制人。</w:t>
            </w:r>
          </w:p>
        </w:tc>
      </w:tr>
      <w:tr w:rsidR="00141B38" w:rsidRPr="002D2C5B" w14:paraId="629D6624" w14:textId="77777777" w:rsidTr="00E1347C">
        <w:trPr>
          <w:trHeight w:val="404"/>
        </w:trPr>
        <w:tc>
          <w:tcPr>
            <w:tcW w:w="1809" w:type="dxa"/>
            <w:vMerge/>
            <w:shd w:val="clear" w:color="auto" w:fill="D9D9D9"/>
          </w:tcPr>
          <w:p w14:paraId="6DF605D3" w14:textId="77777777" w:rsidR="00141B38" w:rsidRPr="002D2C5B" w:rsidRDefault="00141B38" w:rsidP="002D2C5B">
            <w:pPr>
              <w:rPr>
                <w:rFonts w:ascii="Times New Roman" w:eastAsiaTheme="minorEastAsia" w:hAnsi="Times New Roman"/>
                <w:sz w:val="24"/>
                <w:szCs w:val="24"/>
              </w:rPr>
            </w:pPr>
          </w:p>
        </w:tc>
        <w:tc>
          <w:tcPr>
            <w:tcW w:w="1796" w:type="dxa"/>
          </w:tcPr>
          <w:p w14:paraId="124A613F" w14:textId="0B6032FA" w:rsidR="00141B38" w:rsidRPr="002D2C5B" w:rsidRDefault="00141B38" w:rsidP="002D2C5B">
            <w:pPr>
              <w:pStyle w:val="ad"/>
              <w:numPr>
                <w:ilvl w:val="0"/>
                <w:numId w:val="17"/>
              </w:numPr>
              <w:ind w:firstLineChars="0"/>
              <w:rPr>
                <w:rFonts w:ascii="Times New Roman" w:eastAsiaTheme="minorEastAsia" w:hAnsi="Times New Roman"/>
                <w:sz w:val="24"/>
                <w:szCs w:val="24"/>
              </w:rPr>
            </w:pPr>
            <w:r w:rsidRPr="002D2C5B">
              <w:rPr>
                <w:rFonts w:ascii="Times New Roman" w:eastAsiaTheme="minorEastAsia" w:hAnsi="Times New Roman"/>
                <w:sz w:val="24"/>
                <w:szCs w:val="24"/>
              </w:rPr>
              <w:t>JERA</w:t>
            </w:r>
          </w:p>
        </w:tc>
        <w:tc>
          <w:tcPr>
            <w:tcW w:w="4754" w:type="dxa"/>
          </w:tcPr>
          <w:p w14:paraId="4A816F73" w14:textId="660D3CC3" w:rsidR="0064241C" w:rsidRPr="002D2C5B" w:rsidRDefault="0015686A" w:rsidP="00A215BF">
            <w:pPr>
              <w:rPr>
                <w:rFonts w:ascii="Times New Roman" w:eastAsiaTheme="minorEastAsia" w:hAnsi="Times New Roman"/>
                <w:color w:val="000000"/>
                <w:sz w:val="24"/>
                <w:szCs w:val="24"/>
              </w:rPr>
            </w:pPr>
            <w:r w:rsidRPr="002D2C5B">
              <w:rPr>
                <w:rFonts w:ascii="Times New Roman" w:eastAsiaTheme="minorEastAsia" w:hAnsi="Times New Roman"/>
                <w:sz w:val="24"/>
                <w:szCs w:val="24"/>
              </w:rPr>
              <w:t>JERA</w:t>
            </w:r>
            <w:r w:rsidRPr="002D2C5B">
              <w:rPr>
                <w:rFonts w:ascii="Times New Roman" w:eastAsiaTheme="minorEastAsia" w:hAnsi="Times New Roman"/>
                <w:sz w:val="24"/>
                <w:szCs w:val="24"/>
              </w:rPr>
              <w:t>有限公司</w:t>
            </w:r>
            <w:r w:rsidRPr="002D2C5B">
              <w:rPr>
                <w:rFonts w:ascii="Times New Roman" w:eastAsiaTheme="minorEastAsia" w:hAnsi="Times New Roman"/>
                <w:color w:val="000000"/>
                <w:sz w:val="24"/>
                <w:szCs w:val="24"/>
              </w:rPr>
              <w:t>是一家日本私人有限责任公司，</w:t>
            </w:r>
            <w:r w:rsidR="00742689" w:rsidRPr="002D2C5B">
              <w:rPr>
                <w:rFonts w:ascii="Times New Roman" w:eastAsiaTheme="minorEastAsia" w:hAnsi="Times New Roman"/>
                <w:color w:val="000000"/>
                <w:sz w:val="24"/>
                <w:szCs w:val="24"/>
              </w:rPr>
              <w:t>其业务</w:t>
            </w:r>
            <w:r w:rsidRPr="002D2C5B">
              <w:rPr>
                <w:rFonts w:ascii="Times New Roman" w:eastAsiaTheme="minorEastAsia" w:hAnsi="Times New Roman"/>
                <w:color w:val="000000"/>
                <w:sz w:val="24"/>
                <w:szCs w:val="24"/>
              </w:rPr>
              <w:t>涵盖从上游燃料投资和燃料采购</w:t>
            </w:r>
            <w:r w:rsidRPr="002D2C5B">
              <w:rPr>
                <w:rFonts w:ascii="Times New Roman" w:eastAsiaTheme="minorEastAsia" w:hAnsi="Times New Roman"/>
                <w:color w:val="000000"/>
                <w:sz w:val="24"/>
                <w:szCs w:val="24"/>
              </w:rPr>
              <w:lastRenderedPageBreak/>
              <w:t>到发电的整个能源供应链。</w:t>
            </w:r>
            <w:r w:rsidR="0064241C" w:rsidRPr="002D2C5B">
              <w:rPr>
                <w:rFonts w:ascii="Times New Roman" w:eastAsiaTheme="minorEastAsia" w:hAnsi="Times New Roman"/>
                <w:color w:val="000000"/>
                <w:sz w:val="24"/>
                <w:szCs w:val="24"/>
              </w:rPr>
              <w:t>JERA</w:t>
            </w:r>
            <w:r w:rsidR="0064241C" w:rsidRPr="002D2C5B">
              <w:rPr>
                <w:rFonts w:ascii="Times New Roman" w:eastAsiaTheme="minorEastAsia" w:hAnsi="Times New Roman"/>
                <w:color w:val="000000"/>
                <w:sz w:val="24"/>
                <w:szCs w:val="24"/>
              </w:rPr>
              <w:t>有两个最终控制人，分别为</w:t>
            </w:r>
            <w:r w:rsidR="007406C8" w:rsidRPr="002D2C5B">
              <w:rPr>
                <w:rFonts w:ascii="Times New Roman" w:eastAsiaTheme="minorEastAsia" w:hAnsi="Times New Roman"/>
                <w:color w:val="000000"/>
                <w:sz w:val="24"/>
                <w:szCs w:val="24"/>
              </w:rPr>
              <w:t>东京电力控股株式会社</w:t>
            </w:r>
            <w:r w:rsidR="0064241C" w:rsidRPr="002D2C5B">
              <w:rPr>
                <w:rFonts w:ascii="Times New Roman" w:eastAsiaTheme="minorEastAsia" w:hAnsi="Times New Roman"/>
                <w:color w:val="000000"/>
                <w:sz w:val="24"/>
                <w:szCs w:val="24"/>
              </w:rPr>
              <w:t>（</w:t>
            </w:r>
            <w:r w:rsidR="007406C8" w:rsidRPr="002D2C5B">
              <w:rPr>
                <w:rFonts w:ascii="Times New Roman" w:eastAsiaTheme="minorEastAsia" w:hAnsi="Times New Roman"/>
                <w:color w:val="000000"/>
                <w:sz w:val="24"/>
                <w:szCs w:val="24"/>
              </w:rPr>
              <w:t>“</w:t>
            </w:r>
            <w:r w:rsidR="007406C8" w:rsidRPr="002D2C5B">
              <w:rPr>
                <w:rFonts w:ascii="Times New Roman" w:eastAsiaTheme="minorEastAsia" w:hAnsi="Times New Roman"/>
                <w:b/>
                <w:bCs/>
                <w:color w:val="000000"/>
                <w:sz w:val="24"/>
                <w:szCs w:val="24"/>
              </w:rPr>
              <w:t>东电集团</w:t>
            </w:r>
            <w:r w:rsidR="007406C8" w:rsidRPr="002D2C5B">
              <w:rPr>
                <w:rFonts w:ascii="Times New Roman" w:eastAsiaTheme="minorEastAsia" w:hAnsi="Times New Roman"/>
                <w:color w:val="000000"/>
                <w:sz w:val="24"/>
                <w:szCs w:val="24"/>
              </w:rPr>
              <w:t>”</w:t>
            </w:r>
            <w:r w:rsidR="0064241C" w:rsidRPr="002D2C5B">
              <w:rPr>
                <w:rFonts w:ascii="Times New Roman" w:eastAsiaTheme="minorEastAsia" w:hAnsi="Times New Roman"/>
                <w:color w:val="000000"/>
                <w:sz w:val="24"/>
                <w:szCs w:val="24"/>
              </w:rPr>
              <w:t>）和</w:t>
            </w:r>
            <w:r w:rsidR="007406C8" w:rsidRPr="002D2C5B">
              <w:rPr>
                <w:rFonts w:ascii="Times New Roman" w:eastAsiaTheme="minorEastAsia" w:hAnsi="Times New Roman"/>
                <w:color w:val="000000"/>
                <w:sz w:val="24"/>
                <w:szCs w:val="24"/>
              </w:rPr>
              <w:t>日本中部电力公司</w:t>
            </w:r>
            <w:r w:rsidR="0064241C" w:rsidRPr="002D2C5B">
              <w:rPr>
                <w:rFonts w:ascii="Times New Roman" w:eastAsiaTheme="minorEastAsia" w:hAnsi="Times New Roman"/>
                <w:color w:val="000000"/>
                <w:sz w:val="24"/>
                <w:szCs w:val="24"/>
              </w:rPr>
              <w:t>（</w:t>
            </w:r>
            <w:r w:rsidR="007406C8" w:rsidRPr="002D2C5B">
              <w:rPr>
                <w:rFonts w:ascii="Times New Roman" w:eastAsiaTheme="minorEastAsia" w:hAnsi="Times New Roman"/>
                <w:color w:val="000000"/>
                <w:sz w:val="24"/>
                <w:szCs w:val="24"/>
              </w:rPr>
              <w:t>“</w:t>
            </w:r>
            <w:r w:rsidR="0064241C" w:rsidRPr="002D2C5B">
              <w:rPr>
                <w:rFonts w:ascii="Times New Roman" w:eastAsiaTheme="minorEastAsia" w:hAnsi="Times New Roman"/>
                <w:b/>
                <w:bCs/>
                <w:color w:val="000000"/>
                <w:sz w:val="24"/>
                <w:szCs w:val="24"/>
              </w:rPr>
              <w:t>中部</w:t>
            </w:r>
            <w:r w:rsidR="007406C8" w:rsidRPr="002D2C5B">
              <w:rPr>
                <w:rFonts w:ascii="Times New Roman" w:eastAsiaTheme="minorEastAsia" w:hAnsi="Times New Roman"/>
                <w:b/>
                <w:bCs/>
                <w:color w:val="000000"/>
                <w:sz w:val="24"/>
                <w:szCs w:val="24"/>
              </w:rPr>
              <w:t>电力</w:t>
            </w:r>
            <w:r w:rsidR="007406C8" w:rsidRPr="002D2C5B">
              <w:rPr>
                <w:rFonts w:ascii="Times New Roman" w:eastAsiaTheme="minorEastAsia" w:hAnsi="Times New Roman"/>
                <w:color w:val="000000"/>
                <w:sz w:val="24"/>
                <w:szCs w:val="24"/>
              </w:rPr>
              <w:t>”</w:t>
            </w:r>
            <w:r w:rsidR="0064241C" w:rsidRPr="002D2C5B">
              <w:rPr>
                <w:rFonts w:ascii="Times New Roman" w:eastAsiaTheme="minorEastAsia" w:hAnsi="Times New Roman"/>
                <w:color w:val="000000"/>
                <w:sz w:val="24"/>
                <w:szCs w:val="24"/>
              </w:rPr>
              <w:t>）。东电集团主要从事核电、燃料和火力发电及电力供应业务；中部</w:t>
            </w:r>
            <w:r w:rsidR="00CD2CC0" w:rsidRPr="002D2C5B">
              <w:rPr>
                <w:rFonts w:ascii="Times New Roman" w:eastAsiaTheme="minorEastAsia" w:hAnsi="Times New Roman"/>
                <w:color w:val="000000"/>
                <w:sz w:val="24"/>
                <w:szCs w:val="24"/>
              </w:rPr>
              <w:t>电力</w:t>
            </w:r>
            <w:r w:rsidR="0064241C" w:rsidRPr="002D2C5B">
              <w:rPr>
                <w:rFonts w:ascii="Times New Roman" w:eastAsiaTheme="minorEastAsia" w:hAnsi="Times New Roman"/>
                <w:color w:val="000000"/>
                <w:sz w:val="24"/>
                <w:szCs w:val="24"/>
              </w:rPr>
              <w:t>主要从事电力设施、天然气供应和热存储经纪业务。</w:t>
            </w:r>
          </w:p>
        </w:tc>
      </w:tr>
      <w:tr w:rsidR="00141B38" w:rsidRPr="002D2C5B" w14:paraId="50AA0DAF" w14:textId="77777777" w:rsidTr="00E1347C">
        <w:trPr>
          <w:trHeight w:val="404"/>
        </w:trPr>
        <w:tc>
          <w:tcPr>
            <w:tcW w:w="1809" w:type="dxa"/>
            <w:vMerge/>
            <w:shd w:val="clear" w:color="auto" w:fill="D9D9D9"/>
          </w:tcPr>
          <w:p w14:paraId="4FF28683" w14:textId="77777777" w:rsidR="00141B38" w:rsidRPr="002D2C5B" w:rsidRDefault="00141B38" w:rsidP="002D2C5B">
            <w:pPr>
              <w:rPr>
                <w:rFonts w:ascii="Times New Roman" w:eastAsiaTheme="minorEastAsia" w:hAnsi="Times New Roman"/>
                <w:sz w:val="24"/>
                <w:szCs w:val="24"/>
              </w:rPr>
            </w:pPr>
          </w:p>
        </w:tc>
        <w:tc>
          <w:tcPr>
            <w:tcW w:w="1796" w:type="dxa"/>
          </w:tcPr>
          <w:p w14:paraId="261F3784" w14:textId="054C8A38" w:rsidR="00141B38" w:rsidRPr="002D2C5B" w:rsidRDefault="00141B38" w:rsidP="002D2C5B">
            <w:pPr>
              <w:pStyle w:val="ad"/>
              <w:numPr>
                <w:ilvl w:val="0"/>
                <w:numId w:val="17"/>
              </w:numPr>
              <w:ind w:firstLineChars="0"/>
              <w:rPr>
                <w:rFonts w:ascii="Times New Roman" w:eastAsiaTheme="minorEastAsia" w:hAnsi="Times New Roman"/>
                <w:sz w:val="24"/>
                <w:szCs w:val="24"/>
              </w:rPr>
            </w:pPr>
            <w:r w:rsidRPr="002D2C5B">
              <w:rPr>
                <w:rFonts w:ascii="Times New Roman" w:eastAsiaTheme="minorEastAsia" w:hAnsi="Times New Roman"/>
                <w:sz w:val="24"/>
                <w:szCs w:val="24"/>
              </w:rPr>
              <w:t>目标公司</w:t>
            </w:r>
          </w:p>
        </w:tc>
        <w:tc>
          <w:tcPr>
            <w:tcW w:w="4754" w:type="dxa"/>
          </w:tcPr>
          <w:p w14:paraId="16A19A53" w14:textId="6297A1B3" w:rsidR="00CD2CC0" w:rsidRPr="002D2C5B" w:rsidRDefault="00742689" w:rsidP="00A215BF">
            <w:pPr>
              <w:rPr>
                <w:rFonts w:ascii="Times New Roman" w:eastAsiaTheme="minorEastAsia" w:hAnsi="Times New Roman"/>
                <w:color w:val="000000"/>
                <w:sz w:val="24"/>
                <w:szCs w:val="24"/>
              </w:rPr>
            </w:pPr>
            <w:r w:rsidRPr="002D2C5B">
              <w:rPr>
                <w:rFonts w:ascii="Times New Roman" w:eastAsiaTheme="minorEastAsia" w:hAnsi="Times New Roman"/>
                <w:color w:val="000000"/>
                <w:sz w:val="24"/>
                <w:szCs w:val="24"/>
              </w:rPr>
              <w:t>目标公司是一家成立于</w:t>
            </w:r>
            <w:r w:rsidRPr="002D2C5B">
              <w:rPr>
                <w:rFonts w:ascii="Times New Roman" w:eastAsiaTheme="minorEastAsia" w:hAnsi="Times New Roman"/>
                <w:color w:val="000000"/>
                <w:sz w:val="24"/>
                <w:szCs w:val="24"/>
              </w:rPr>
              <w:t>2016</w:t>
            </w:r>
            <w:r w:rsidRPr="002D2C5B">
              <w:rPr>
                <w:rFonts w:ascii="Times New Roman" w:eastAsiaTheme="minorEastAsia" w:hAnsi="Times New Roman"/>
                <w:color w:val="000000"/>
                <w:sz w:val="24"/>
                <w:szCs w:val="24"/>
              </w:rPr>
              <w:t>年</w:t>
            </w:r>
            <w:r w:rsidRPr="002D2C5B">
              <w:rPr>
                <w:rFonts w:ascii="Times New Roman" w:eastAsiaTheme="minorEastAsia" w:hAnsi="Times New Roman"/>
                <w:color w:val="000000"/>
                <w:sz w:val="24"/>
                <w:szCs w:val="24"/>
              </w:rPr>
              <w:t>8</w:t>
            </w:r>
            <w:r w:rsidRPr="002D2C5B">
              <w:rPr>
                <w:rFonts w:ascii="Times New Roman" w:eastAsiaTheme="minorEastAsia" w:hAnsi="Times New Roman"/>
                <w:color w:val="000000"/>
                <w:sz w:val="24"/>
                <w:szCs w:val="24"/>
              </w:rPr>
              <w:t>月</w:t>
            </w:r>
            <w:r w:rsidRPr="002D2C5B">
              <w:rPr>
                <w:rFonts w:ascii="Times New Roman" w:eastAsiaTheme="minorEastAsia" w:hAnsi="Times New Roman"/>
                <w:color w:val="000000"/>
                <w:sz w:val="24"/>
                <w:szCs w:val="24"/>
              </w:rPr>
              <w:t>1</w:t>
            </w:r>
            <w:r w:rsidRPr="002D2C5B">
              <w:rPr>
                <w:rFonts w:ascii="Times New Roman" w:eastAsiaTheme="minorEastAsia" w:hAnsi="Times New Roman"/>
                <w:color w:val="000000"/>
                <w:sz w:val="24"/>
                <w:szCs w:val="24"/>
              </w:rPr>
              <w:t>日的台湾公司，主要通过其子公司在台湾从事某海上风电场的运营</w:t>
            </w:r>
            <w:r w:rsidR="004714D6" w:rsidRPr="002D2C5B">
              <w:rPr>
                <w:rFonts w:ascii="Times New Roman" w:eastAsiaTheme="minorEastAsia" w:hAnsi="Times New Roman"/>
                <w:color w:val="000000"/>
                <w:sz w:val="24"/>
                <w:szCs w:val="24"/>
              </w:rPr>
              <w:t>业务</w:t>
            </w:r>
            <w:r w:rsidRPr="002D2C5B">
              <w:rPr>
                <w:rFonts w:ascii="Times New Roman" w:eastAsiaTheme="minorEastAsia" w:hAnsi="Times New Roman"/>
                <w:color w:val="000000"/>
                <w:sz w:val="24"/>
                <w:szCs w:val="24"/>
              </w:rPr>
              <w:t>。</w:t>
            </w:r>
            <w:r w:rsidR="00CD2CC0" w:rsidRPr="002D2C5B">
              <w:rPr>
                <w:rFonts w:ascii="Times New Roman" w:eastAsiaTheme="minorEastAsia" w:hAnsi="Times New Roman"/>
                <w:color w:val="000000"/>
                <w:sz w:val="24"/>
                <w:szCs w:val="24"/>
              </w:rPr>
              <w:t>拟议交易前，目标公司</w:t>
            </w:r>
            <w:proofErr w:type="gramStart"/>
            <w:r w:rsidR="00CD2CC0" w:rsidRPr="002D2C5B">
              <w:rPr>
                <w:rFonts w:ascii="Times New Roman" w:eastAsiaTheme="minorEastAsia" w:hAnsi="Times New Roman"/>
                <w:color w:val="000000"/>
                <w:sz w:val="24"/>
                <w:szCs w:val="24"/>
              </w:rPr>
              <w:t>由沃旭</w:t>
            </w:r>
            <w:proofErr w:type="gramEnd"/>
            <w:r w:rsidR="00CD2CC0" w:rsidRPr="002D2C5B">
              <w:rPr>
                <w:rFonts w:ascii="Times New Roman" w:eastAsiaTheme="minorEastAsia" w:hAnsi="Times New Roman"/>
                <w:color w:val="000000"/>
                <w:sz w:val="24"/>
                <w:szCs w:val="24"/>
              </w:rPr>
              <w:t>股份有限公司、上</w:t>
            </w:r>
            <w:proofErr w:type="gramStart"/>
            <w:r w:rsidR="00CD2CC0" w:rsidRPr="002D2C5B">
              <w:rPr>
                <w:rFonts w:ascii="Times New Roman" w:eastAsiaTheme="minorEastAsia" w:hAnsi="Times New Roman"/>
                <w:color w:val="000000"/>
                <w:sz w:val="24"/>
                <w:szCs w:val="24"/>
              </w:rPr>
              <w:t>纬投控</w:t>
            </w:r>
            <w:proofErr w:type="gramEnd"/>
            <w:r w:rsidR="00CD2CC0" w:rsidRPr="002D2C5B">
              <w:rPr>
                <w:rFonts w:ascii="Times New Roman" w:eastAsiaTheme="minorEastAsia" w:hAnsi="Times New Roman"/>
                <w:color w:val="000000"/>
                <w:sz w:val="24"/>
                <w:szCs w:val="24"/>
              </w:rPr>
              <w:t>、东京电力、中部电力（其业务分别请</w:t>
            </w:r>
            <w:r w:rsidR="00B76AAC" w:rsidRPr="002D2C5B">
              <w:rPr>
                <w:rFonts w:ascii="Times New Roman" w:eastAsiaTheme="minorEastAsia" w:hAnsi="Times New Roman"/>
                <w:color w:val="000000"/>
                <w:sz w:val="24"/>
                <w:szCs w:val="24"/>
              </w:rPr>
              <w:t>见上</w:t>
            </w:r>
            <w:r w:rsidR="00CD2CC0" w:rsidRPr="002D2C5B">
              <w:rPr>
                <w:rFonts w:ascii="Times New Roman" w:eastAsiaTheme="minorEastAsia" w:hAnsi="Times New Roman"/>
                <w:color w:val="000000"/>
                <w:sz w:val="24"/>
                <w:szCs w:val="24"/>
              </w:rPr>
              <w:t>）</w:t>
            </w:r>
            <w:r w:rsidR="00B76AAC" w:rsidRPr="002D2C5B">
              <w:rPr>
                <w:rFonts w:ascii="Times New Roman" w:eastAsiaTheme="minorEastAsia" w:hAnsi="Times New Roman"/>
                <w:color w:val="000000"/>
                <w:sz w:val="24"/>
                <w:szCs w:val="24"/>
              </w:rPr>
              <w:t>，以及麦格理集团有限公司共同控制。麦格理集团有限公司主要在全球范围内提供金融相关服务。</w:t>
            </w:r>
          </w:p>
        </w:tc>
      </w:tr>
      <w:tr w:rsidR="00D73A38" w:rsidRPr="002D2C5B" w14:paraId="779A4BF3" w14:textId="77777777" w:rsidTr="00BA4F7F">
        <w:trPr>
          <w:trHeight w:val="279"/>
        </w:trPr>
        <w:tc>
          <w:tcPr>
            <w:tcW w:w="1809" w:type="dxa"/>
            <w:vMerge w:val="restart"/>
            <w:shd w:val="clear" w:color="auto" w:fill="D9D9D9"/>
          </w:tcPr>
          <w:p w14:paraId="29B44194" w14:textId="77777777" w:rsidR="00094095" w:rsidRPr="002D2C5B" w:rsidRDefault="00094095" w:rsidP="002D2C5B">
            <w:pPr>
              <w:rPr>
                <w:rFonts w:ascii="Times New Roman" w:eastAsiaTheme="minorEastAsia" w:hAnsi="Times New Roman"/>
                <w:b/>
                <w:bCs/>
                <w:sz w:val="24"/>
                <w:szCs w:val="24"/>
              </w:rPr>
            </w:pPr>
            <w:r w:rsidRPr="002D2C5B">
              <w:rPr>
                <w:rFonts w:ascii="Times New Roman" w:eastAsiaTheme="minorEastAsia" w:hAnsi="Times New Roman"/>
                <w:b/>
                <w:bCs/>
                <w:sz w:val="24"/>
                <w:szCs w:val="24"/>
              </w:rPr>
              <w:t>简易案件理由（</w:t>
            </w:r>
            <w:r w:rsidR="005F167B" w:rsidRPr="002D2C5B">
              <w:rPr>
                <w:rFonts w:ascii="Times New Roman" w:eastAsiaTheme="minorEastAsia" w:hAnsi="Times New Roman"/>
                <w:b/>
                <w:bCs/>
                <w:sz w:val="24"/>
                <w:szCs w:val="24"/>
              </w:rPr>
              <w:t>可以单选，也可以多选</w:t>
            </w:r>
            <w:r w:rsidRPr="002D2C5B">
              <w:rPr>
                <w:rFonts w:ascii="Times New Roman" w:eastAsiaTheme="minorEastAsia" w:hAnsi="Times New Roman"/>
                <w:b/>
                <w:bCs/>
                <w:sz w:val="24"/>
                <w:szCs w:val="24"/>
              </w:rPr>
              <w:t>）</w:t>
            </w:r>
          </w:p>
        </w:tc>
        <w:tc>
          <w:tcPr>
            <w:tcW w:w="6550" w:type="dxa"/>
            <w:gridSpan w:val="2"/>
          </w:tcPr>
          <w:p w14:paraId="03448B22" w14:textId="57831D79" w:rsidR="00094095" w:rsidRPr="002D2C5B" w:rsidRDefault="007543A3" w:rsidP="002D2C5B">
            <w:pPr>
              <w:rPr>
                <w:rFonts w:ascii="Times New Roman" w:eastAsiaTheme="minorEastAsia" w:hAnsi="Times New Roman"/>
                <w:sz w:val="24"/>
                <w:szCs w:val="24"/>
              </w:rPr>
            </w:pPr>
            <w:r w:rsidRPr="002D2C5B">
              <w:rPr>
                <w:rFonts w:ascii="Times New Roman" w:eastAsiaTheme="minorEastAsia" w:hAnsi="Times New Roman"/>
                <w:sz w:val="24"/>
                <w:szCs w:val="24"/>
                <w:lang w:val="en-GB"/>
              </w:rPr>
              <w:sym w:font="Wingdings" w:char="F0A8"/>
            </w:r>
            <w:r w:rsidR="00094095" w:rsidRPr="002D2C5B">
              <w:rPr>
                <w:rFonts w:ascii="Times New Roman" w:eastAsiaTheme="minorEastAsia" w:hAnsi="Times New Roman"/>
                <w:sz w:val="24"/>
                <w:szCs w:val="24"/>
              </w:rPr>
              <w:t>1</w:t>
            </w:r>
            <w:r w:rsidR="00094095" w:rsidRPr="002D2C5B">
              <w:rPr>
                <w:rFonts w:ascii="Times New Roman" w:eastAsiaTheme="minorEastAsia" w:hAnsi="Times New Roman"/>
                <w:sz w:val="24"/>
                <w:szCs w:val="24"/>
              </w:rPr>
              <w:t>、在同一相关市场，所有参与集中的经营者所占市场份额之和小于</w:t>
            </w:r>
            <w:r w:rsidR="00094095" w:rsidRPr="002D2C5B">
              <w:rPr>
                <w:rFonts w:ascii="Times New Roman" w:eastAsiaTheme="minorEastAsia" w:hAnsi="Times New Roman"/>
                <w:sz w:val="24"/>
                <w:szCs w:val="24"/>
              </w:rPr>
              <w:t>15%</w:t>
            </w:r>
            <w:r w:rsidR="00094095" w:rsidRPr="002D2C5B">
              <w:rPr>
                <w:rFonts w:ascii="Times New Roman" w:eastAsiaTheme="minorEastAsia" w:hAnsi="Times New Roman"/>
                <w:sz w:val="24"/>
                <w:szCs w:val="24"/>
              </w:rPr>
              <w:t>。</w:t>
            </w:r>
          </w:p>
        </w:tc>
      </w:tr>
      <w:tr w:rsidR="00D73A38" w:rsidRPr="002D2C5B" w14:paraId="084D7D28" w14:textId="77777777" w:rsidTr="00BA4F7F">
        <w:trPr>
          <w:trHeight w:val="330"/>
        </w:trPr>
        <w:tc>
          <w:tcPr>
            <w:tcW w:w="1809" w:type="dxa"/>
            <w:vMerge/>
            <w:shd w:val="clear" w:color="auto" w:fill="D9D9D9"/>
          </w:tcPr>
          <w:p w14:paraId="756096BF" w14:textId="77777777" w:rsidR="00094095" w:rsidRPr="002D2C5B" w:rsidRDefault="00094095" w:rsidP="002D2C5B">
            <w:pPr>
              <w:rPr>
                <w:rFonts w:ascii="Times New Roman" w:eastAsiaTheme="minorEastAsia" w:hAnsi="Times New Roman"/>
                <w:sz w:val="24"/>
                <w:szCs w:val="24"/>
              </w:rPr>
            </w:pPr>
          </w:p>
        </w:tc>
        <w:tc>
          <w:tcPr>
            <w:tcW w:w="6550" w:type="dxa"/>
            <w:gridSpan w:val="2"/>
          </w:tcPr>
          <w:p w14:paraId="15841CB1" w14:textId="4AD90336" w:rsidR="00094095" w:rsidRPr="002D2C5B" w:rsidRDefault="003061D7" w:rsidP="002D2C5B">
            <w:pPr>
              <w:rPr>
                <w:rFonts w:ascii="Times New Roman" w:eastAsiaTheme="minorEastAsia" w:hAnsi="Times New Roman"/>
                <w:sz w:val="24"/>
                <w:szCs w:val="24"/>
              </w:rPr>
            </w:pPr>
            <w:r w:rsidRPr="002D2C5B">
              <w:rPr>
                <w:rFonts w:ascii="Times New Roman" w:eastAsiaTheme="minorEastAsia" w:hAnsi="Times New Roman"/>
                <w:sz w:val="24"/>
                <w:szCs w:val="24"/>
                <w:lang w:val="en-GB"/>
              </w:rPr>
              <w:sym w:font="Wingdings" w:char="F0A8"/>
            </w:r>
            <w:r w:rsidRPr="002D2C5B">
              <w:rPr>
                <w:rFonts w:ascii="Times New Roman" w:eastAsiaTheme="minorEastAsia" w:hAnsi="Times New Roman"/>
                <w:sz w:val="24"/>
                <w:szCs w:val="24"/>
                <w:lang w:val="en-GB"/>
              </w:rPr>
              <w:t xml:space="preserve"> </w:t>
            </w:r>
            <w:r w:rsidR="00094095" w:rsidRPr="002D2C5B">
              <w:rPr>
                <w:rFonts w:ascii="Times New Roman" w:eastAsiaTheme="minorEastAsia" w:hAnsi="Times New Roman"/>
                <w:sz w:val="24"/>
                <w:szCs w:val="24"/>
              </w:rPr>
              <w:t>2</w:t>
            </w:r>
            <w:r w:rsidR="00094095" w:rsidRPr="002D2C5B">
              <w:rPr>
                <w:rFonts w:ascii="Times New Roman" w:eastAsiaTheme="minorEastAsia" w:hAnsi="Times New Roman"/>
                <w:sz w:val="24"/>
                <w:szCs w:val="24"/>
              </w:rPr>
              <w:t>、存在上下游关系的参与集中的经营者，在上下游市场所占的市场份额均小于</w:t>
            </w:r>
            <w:r w:rsidR="00094095" w:rsidRPr="002D2C5B">
              <w:rPr>
                <w:rFonts w:ascii="Times New Roman" w:eastAsiaTheme="minorEastAsia" w:hAnsi="Times New Roman"/>
                <w:sz w:val="24"/>
                <w:szCs w:val="24"/>
              </w:rPr>
              <w:t>25%</w:t>
            </w:r>
            <w:r w:rsidR="00094095" w:rsidRPr="002D2C5B">
              <w:rPr>
                <w:rFonts w:ascii="Times New Roman" w:eastAsiaTheme="minorEastAsia" w:hAnsi="Times New Roman"/>
                <w:sz w:val="24"/>
                <w:szCs w:val="24"/>
              </w:rPr>
              <w:t>。</w:t>
            </w:r>
          </w:p>
        </w:tc>
      </w:tr>
      <w:tr w:rsidR="00D73A38" w:rsidRPr="002D2C5B" w14:paraId="333A6FC0" w14:textId="77777777" w:rsidTr="00BA4F7F">
        <w:trPr>
          <w:trHeight w:val="285"/>
        </w:trPr>
        <w:tc>
          <w:tcPr>
            <w:tcW w:w="1809" w:type="dxa"/>
            <w:vMerge/>
            <w:shd w:val="clear" w:color="auto" w:fill="D9D9D9"/>
          </w:tcPr>
          <w:p w14:paraId="1FC72C9E" w14:textId="77777777" w:rsidR="00094095" w:rsidRPr="002D2C5B" w:rsidRDefault="00094095" w:rsidP="002D2C5B">
            <w:pPr>
              <w:rPr>
                <w:rFonts w:ascii="Times New Roman" w:eastAsiaTheme="minorEastAsia" w:hAnsi="Times New Roman"/>
                <w:sz w:val="24"/>
                <w:szCs w:val="24"/>
              </w:rPr>
            </w:pPr>
          </w:p>
        </w:tc>
        <w:tc>
          <w:tcPr>
            <w:tcW w:w="6550" w:type="dxa"/>
            <w:gridSpan w:val="2"/>
          </w:tcPr>
          <w:p w14:paraId="37076F02" w14:textId="440F19B7" w:rsidR="00094095" w:rsidRPr="002D2C5B" w:rsidRDefault="003061D7" w:rsidP="002D2C5B">
            <w:pPr>
              <w:rPr>
                <w:rFonts w:ascii="Times New Roman" w:eastAsiaTheme="minorEastAsia" w:hAnsi="Times New Roman"/>
                <w:sz w:val="24"/>
                <w:szCs w:val="24"/>
              </w:rPr>
            </w:pPr>
            <w:r w:rsidRPr="002D2C5B">
              <w:rPr>
                <w:rFonts w:ascii="Times New Roman" w:eastAsiaTheme="minorEastAsia" w:hAnsi="Times New Roman"/>
                <w:sz w:val="24"/>
                <w:szCs w:val="24"/>
                <w:lang w:val="en-GB"/>
              </w:rPr>
              <w:sym w:font="Wingdings" w:char="F0A8"/>
            </w:r>
            <w:r w:rsidR="00094095" w:rsidRPr="002D2C5B">
              <w:rPr>
                <w:rFonts w:ascii="Times New Roman" w:eastAsiaTheme="minorEastAsia" w:hAnsi="Times New Roman"/>
                <w:sz w:val="24"/>
                <w:szCs w:val="24"/>
              </w:rPr>
              <w:t>3</w:t>
            </w:r>
            <w:r w:rsidR="00094095" w:rsidRPr="002D2C5B">
              <w:rPr>
                <w:rFonts w:ascii="Times New Roman" w:eastAsiaTheme="minorEastAsia" w:hAnsi="Times New Roman"/>
                <w:sz w:val="24"/>
                <w:szCs w:val="24"/>
              </w:rPr>
              <w:t>、不在同一相关市场、也不存在上下游关系的参与集中的经营者，在与交易有关的每个市场所占的份额均小于</w:t>
            </w:r>
            <w:r w:rsidR="00094095" w:rsidRPr="002D2C5B">
              <w:rPr>
                <w:rFonts w:ascii="Times New Roman" w:eastAsiaTheme="minorEastAsia" w:hAnsi="Times New Roman"/>
                <w:sz w:val="24"/>
                <w:szCs w:val="24"/>
              </w:rPr>
              <w:t>25%</w:t>
            </w:r>
            <w:r w:rsidR="00094095" w:rsidRPr="002D2C5B">
              <w:rPr>
                <w:rFonts w:ascii="Times New Roman" w:eastAsiaTheme="minorEastAsia" w:hAnsi="Times New Roman"/>
                <w:sz w:val="24"/>
                <w:szCs w:val="24"/>
              </w:rPr>
              <w:t>。</w:t>
            </w:r>
          </w:p>
        </w:tc>
      </w:tr>
      <w:tr w:rsidR="00D73A38" w:rsidRPr="002D2C5B" w14:paraId="53C0D8DE" w14:textId="77777777" w:rsidTr="00BA4F7F">
        <w:trPr>
          <w:trHeight w:val="870"/>
        </w:trPr>
        <w:tc>
          <w:tcPr>
            <w:tcW w:w="1809" w:type="dxa"/>
            <w:vMerge/>
            <w:shd w:val="clear" w:color="auto" w:fill="D9D9D9"/>
          </w:tcPr>
          <w:p w14:paraId="63DDF24A" w14:textId="77777777" w:rsidR="00094095" w:rsidRPr="002D2C5B" w:rsidRDefault="00094095" w:rsidP="002D2C5B">
            <w:pPr>
              <w:rPr>
                <w:rFonts w:ascii="Times New Roman" w:eastAsiaTheme="minorEastAsia" w:hAnsi="Times New Roman"/>
                <w:sz w:val="24"/>
                <w:szCs w:val="24"/>
              </w:rPr>
            </w:pPr>
          </w:p>
        </w:tc>
        <w:tc>
          <w:tcPr>
            <w:tcW w:w="6550" w:type="dxa"/>
            <w:gridSpan w:val="2"/>
          </w:tcPr>
          <w:p w14:paraId="54A4DD0B" w14:textId="1273940B" w:rsidR="00094095" w:rsidRPr="002D2C5B" w:rsidRDefault="004714D6" w:rsidP="002D2C5B">
            <w:pPr>
              <w:rPr>
                <w:rFonts w:ascii="Times New Roman" w:eastAsiaTheme="minorEastAsia" w:hAnsi="Times New Roman"/>
                <w:sz w:val="24"/>
                <w:szCs w:val="24"/>
              </w:rPr>
            </w:pPr>
            <w:r w:rsidRPr="002D2C5B">
              <w:rPr>
                <w:rFonts w:ascii="Times New Roman" w:eastAsiaTheme="minorEastAsia" w:hAnsi="Times New Roman"/>
                <w:sz w:val="24"/>
                <w:szCs w:val="24"/>
                <w:lang w:val="en-GB"/>
              </w:rPr>
              <w:sym w:font="Wingdings" w:char="F0A8"/>
            </w:r>
            <w:r w:rsidR="00094095" w:rsidRPr="002D2C5B">
              <w:rPr>
                <w:rFonts w:ascii="Times New Roman" w:eastAsiaTheme="minorEastAsia" w:hAnsi="Times New Roman"/>
                <w:sz w:val="24"/>
                <w:szCs w:val="24"/>
              </w:rPr>
              <w:t>4</w:t>
            </w:r>
            <w:r w:rsidR="00094095" w:rsidRPr="002D2C5B">
              <w:rPr>
                <w:rFonts w:ascii="Times New Roman" w:eastAsiaTheme="minorEastAsia" w:hAnsi="Times New Roman"/>
                <w:sz w:val="24"/>
                <w:szCs w:val="24"/>
              </w:rPr>
              <w:t>、参与集中的经营者在中国境外设立合营企业，合营企业不在中国境内从事经济活动。</w:t>
            </w:r>
          </w:p>
        </w:tc>
      </w:tr>
      <w:tr w:rsidR="00D73A38" w:rsidRPr="002D2C5B" w14:paraId="6805632B" w14:textId="77777777" w:rsidTr="00BA4F7F">
        <w:trPr>
          <w:trHeight w:val="264"/>
        </w:trPr>
        <w:tc>
          <w:tcPr>
            <w:tcW w:w="1809" w:type="dxa"/>
            <w:vMerge/>
            <w:shd w:val="clear" w:color="auto" w:fill="D9D9D9"/>
          </w:tcPr>
          <w:p w14:paraId="284CAFBD" w14:textId="77777777" w:rsidR="00094095" w:rsidRPr="002D2C5B" w:rsidRDefault="00094095" w:rsidP="002D2C5B">
            <w:pPr>
              <w:rPr>
                <w:rFonts w:ascii="Times New Roman" w:eastAsiaTheme="minorEastAsia" w:hAnsi="Times New Roman"/>
                <w:sz w:val="24"/>
                <w:szCs w:val="24"/>
              </w:rPr>
            </w:pPr>
          </w:p>
        </w:tc>
        <w:tc>
          <w:tcPr>
            <w:tcW w:w="6550" w:type="dxa"/>
            <w:gridSpan w:val="2"/>
          </w:tcPr>
          <w:p w14:paraId="20FEBF80" w14:textId="1CED034F" w:rsidR="00094095" w:rsidRPr="002D2C5B" w:rsidRDefault="004714D6" w:rsidP="002D2C5B">
            <w:pPr>
              <w:rPr>
                <w:rFonts w:ascii="Times New Roman" w:eastAsiaTheme="minorEastAsia" w:hAnsi="Times New Roman"/>
                <w:sz w:val="24"/>
                <w:szCs w:val="24"/>
              </w:rPr>
            </w:pPr>
            <w:r w:rsidRPr="002D2C5B">
              <w:rPr>
                <w:rFonts w:ascii="Times New Roman" w:eastAsiaTheme="minorEastAsia" w:hAnsi="Times New Roman"/>
                <w:sz w:val="24"/>
                <w:szCs w:val="24"/>
                <w:lang w:val="en-GB"/>
              </w:rPr>
              <w:sym w:font="Wingdings" w:char="F0FE"/>
            </w:r>
            <w:r w:rsidR="00094095" w:rsidRPr="002D2C5B">
              <w:rPr>
                <w:rFonts w:ascii="Times New Roman" w:eastAsiaTheme="minorEastAsia" w:hAnsi="Times New Roman"/>
                <w:sz w:val="24"/>
                <w:szCs w:val="24"/>
              </w:rPr>
              <w:t>5</w:t>
            </w:r>
            <w:r w:rsidR="00094095" w:rsidRPr="002D2C5B">
              <w:rPr>
                <w:rFonts w:ascii="Times New Roman" w:eastAsiaTheme="minorEastAsia" w:hAnsi="Times New Roman"/>
                <w:sz w:val="24"/>
                <w:szCs w:val="24"/>
              </w:rPr>
              <w:t>、参与集中的经营者收购境外企业股权或资产的，该境外企业不在中国境内从事经济活动。</w:t>
            </w:r>
          </w:p>
        </w:tc>
      </w:tr>
      <w:tr w:rsidR="00D73A38" w:rsidRPr="002D2C5B" w14:paraId="3F5B2633" w14:textId="77777777" w:rsidTr="00BA4F7F">
        <w:trPr>
          <w:trHeight w:val="345"/>
        </w:trPr>
        <w:tc>
          <w:tcPr>
            <w:tcW w:w="1809" w:type="dxa"/>
            <w:vMerge/>
            <w:shd w:val="clear" w:color="auto" w:fill="D9D9D9"/>
          </w:tcPr>
          <w:p w14:paraId="31BA6860" w14:textId="77777777" w:rsidR="00094095" w:rsidRPr="002D2C5B" w:rsidRDefault="00094095" w:rsidP="002D2C5B">
            <w:pPr>
              <w:rPr>
                <w:rFonts w:ascii="Times New Roman" w:eastAsiaTheme="minorEastAsia" w:hAnsi="Times New Roman"/>
                <w:sz w:val="24"/>
                <w:szCs w:val="24"/>
              </w:rPr>
            </w:pPr>
          </w:p>
        </w:tc>
        <w:tc>
          <w:tcPr>
            <w:tcW w:w="6550" w:type="dxa"/>
            <w:gridSpan w:val="2"/>
          </w:tcPr>
          <w:p w14:paraId="5742F919" w14:textId="5E107735" w:rsidR="00094095" w:rsidRPr="002D2C5B" w:rsidRDefault="00527F6A" w:rsidP="002D2C5B">
            <w:pPr>
              <w:rPr>
                <w:rFonts w:ascii="Times New Roman" w:eastAsiaTheme="minorEastAsia" w:hAnsi="Times New Roman"/>
                <w:sz w:val="24"/>
                <w:szCs w:val="24"/>
              </w:rPr>
            </w:pPr>
            <w:r w:rsidRPr="002D2C5B">
              <w:rPr>
                <w:rFonts w:ascii="Times New Roman" w:eastAsiaTheme="minorEastAsia" w:hAnsi="Times New Roman"/>
                <w:sz w:val="24"/>
                <w:szCs w:val="24"/>
                <w:lang w:val="en-GB"/>
              </w:rPr>
              <w:sym w:font="Wingdings" w:char="F0A8"/>
            </w:r>
            <w:r w:rsidR="00094095" w:rsidRPr="002D2C5B">
              <w:rPr>
                <w:rFonts w:ascii="Times New Roman" w:eastAsiaTheme="minorEastAsia" w:hAnsi="Times New Roman"/>
                <w:sz w:val="24"/>
                <w:szCs w:val="24"/>
              </w:rPr>
              <w:t>6</w:t>
            </w:r>
            <w:r w:rsidR="00094095" w:rsidRPr="002D2C5B">
              <w:rPr>
                <w:rFonts w:ascii="Times New Roman" w:eastAsiaTheme="minorEastAsia" w:hAnsi="Times New Roman"/>
                <w:sz w:val="24"/>
                <w:szCs w:val="24"/>
              </w:rPr>
              <w:t>、由两个以上的经营者共同控制的合营企业，通过集中被其中一个或一个以上经营者控制。</w:t>
            </w:r>
          </w:p>
        </w:tc>
      </w:tr>
      <w:tr w:rsidR="00D73A38" w:rsidRPr="002D2C5B" w14:paraId="57C9DAD0" w14:textId="77777777" w:rsidTr="004714D6">
        <w:trPr>
          <w:trHeight w:val="746"/>
        </w:trPr>
        <w:tc>
          <w:tcPr>
            <w:tcW w:w="1809" w:type="dxa"/>
            <w:shd w:val="clear" w:color="auto" w:fill="D9D9D9"/>
          </w:tcPr>
          <w:p w14:paraId="26D53E82" w14:textId="77777777" w:rsidR="00094095" w:rsidRPr="002D2C5B" w:rsidRDefault="00094095" w:rsidP="002D2C5B">
            <w:pPr>
              <w:rPr>
                <w:rFonts w:ascii="Times New Roman" w:eastAsiaTheme="minorEastAsia" w:hAnsi="Times New Roman"/>
                <w:b/>
                <w:bCs/>
                <w:sz w:val="24"/>
                <w:szCs w:val="24"/>
              </w:rPr>
            </w:pPr>
            <w:r w:rsidRPr="002D2C5B">
              <w:rPr>
                <w:rFonts w:ascii="Times New Roman" w:eastAsiaTheme="minorEastAsia" w:hAnsi="Times New Roman"/>
                <w:b/>
                <w:bCs/>
                <w:sz w:val="24"/>
                <w:szCs w:val="24"/>
              </w:rPr>
              <w:t>备注</w:t>
            </w:r>
          </w:p>
        </w:tc>
        <w:tc>
          <w:tcPr>
            <w:tcW w:w="6550" w:type="dxa"/>
            <w:gridSpan w:val="2"/>
          </w:tcPr>
          <w:p w14:paraId="7F4D6934" w14:textId="66E40802" w:rsidR="007364E2" w:rsidRPr="002D2C5B" w:rsidRDefault="007543A3" w:rsidP="002D2C5B">
            <w:pPr>
              <w:rPr>
                <w:rFonts w:ascii="Times New Roman" w:eastAsiaTheme="minorEastAsia" w:hAnsi="Times New Roman"/>
                <w:sz w:val="24"/>
                <w:szCs w:val="24"/>
              </w:rPr>
            </w:pPr>
            <w:r w:rsidRPr="002D2C5B">
              <w:rPr>
                <w:rFonts w:ascii="Times New Roman" w:eastAsiaTheme="minorEastAsia" w:hAnsi="Times New Roman"/>
                <w:sz w:val="24"/>
                <w:szCs w:val="24"/>
              </w:rPr>
              <w:t>不适用</w:t>
            </w:r>
          </w:p>
        </w:tc>
      </w:tr>
    </w:tbl>
    <w:p w14:paraId="1D712EA4" w14:textId="77777777" w:rsidR="00F87C1F" w:rsidRPr="002D2C5B" w:rsidRDefault="00F87C1F" w:rsidP="00F234B2">
      <w:pPr>
        <w:snapToGrid w:val="0"/>
        <w:spacing w:line="240" w:lineRule="exact"/>
        <w:jc w:val="left"/>
        <w:rPr>
          <w:rFonts w:ascii="黑体" w:eastAsia="黑体" w:hAnsi="黑体"/>
          <w:sz w:val="36"/>
          <w:szCs w:val="36"/>
        </w:rPr>
      </w:pPr>
    </w:p>
    <w:sectPr w:rsidR="00F87C1F" w:rsidRPr="002D2C5B" w:rsidSect="00ED21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3E63" w14:textId="77777777" w:rsidR="00CC461A" w:rsidRDefault="00CC461A" w:rsidP="00094095">
      <w:r>
        <w:separator/>
      </w:r>
    </w:p>
  </w:endnote>
  <w:endnote w:type="continuationSeparator" w:id="0">
    <w:p w14:paraId="24934BA2" w14:textId="77777777" w:rsidR="00CC461A" w:rsidRDefault="00CC461A"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76438"/>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7CC3D616" w14:textId="0E5F850E" w:rsidR="00B60E5E" w:rsidRPr="00B60E5E" w:rsidRDefault="00B60E5E">
            <w:pPr>
              <w:pStyle w:val="a9"/>
              <w:jc w:val="center"/>
              <w:rPr>
                <w:rFonts w:ascii="Times New Roman" w:hAnsi="Times New Roman"/>
              </w:rPr>
            </w:pPr>
            <w:r w:rsidRPr="00B60E5E">
              <w:rPr>
                <w:rFonts w:ascii="Times New Roman" w:hAnsi="Times New Roman"/>
                <w:lang w:val="zh-CN"/>
              </w:rPr>
              <w:t xml:space="preserve"> </w:t>
            </w:r>
            <w:r w:rsidRPr="00B60E5E">
              <w:rPr>
                <w:rFonts w:ascii="Times New Roman" w:hAnsi="Times New Roman"/>
                <w:b/>
                <w:bCs/>
                <w:sz w:val="24"/>
                <w:szCs w:val="24"/>
              </w:rPr>
              <w:fldChar w:fldCharType="begin"/>
            </w:r>
            <w:r w:rsidRPr="00B60E5E">
              <w:rPr>
                <w:rFonts w:ascii="Times New Roman" w:hAnsi="Times New Roman"/>
                <w:b/>
                <w:bCs/>
              </w:rPr>
              <w:instrText>PAGE</w:instrText>
            </w:r>
            <w:r w:rsidRPr="00B60E5E">
              <w:rPr>
                <w:rFonts w:ascii="Times New Roman" w:hAnsi="Times New Roman"/>
                <w:b/>
                <w:bCs/>
                <w:sz w:val="24"/>
                <w:szCs w:val="24"/>
              </w:rPr>
              <w:fldChar w:fldCharType="separate"/>
            </w:r>
            <w:r w:rsidR="00A215BF">
              <w:rPr>
                <w:rFonts w:ascii="Times New Roman" w:hAnsi="Times New Roman"/>
                <w:b/>
                <w:bCs/>
                <w:noProof/>
              </w:rPr>
              <w:t>2</w:t>
            </w:r>
            <w:r w:rsidRPr="00B60E5E">
              <w:rPr>
                <w:rFonts w:ascii="Times New Roman" w:hAnsi="Times New Roman"/>
                <w:b/>
                <w:bCs/>
                <w:sz w:val="24"/>
                <w:szCs w:val="24"/>
              </w:rPr>
              <w:fldChar w:fldCharType="end"/>
            </w:r>
            <w:r w:rsidRPr="00B60E5E">
              <w:rPr>
                <w:rFonts w:ascii="Times New Roman" w:hAnsi="Times New Roman"/>
                <w:lang w:val="zh-CN"/>
              </w:rPr>
              <w:t xml:space="preserve"> / </w:t>
            </w:r>
            <w:r w:rsidRPr="00B60E5E">
              <w:rPr>
                <w:rFonts w:ascii="Times New Roman" w:hAnsi="Times New Roman"/>
                <w:b/>
                <w:bCs/>
                <w:sz w:val="24"/>
                <w:szCs w:val="24"/>
              </w:rPr>
              <w:fldChar w:fldCharType="begin"/>
            </w:r>
            <w:r w:rsidRPr="00B60E5E">
              <w:rPr>
                <w:rFonts w:ascii="Times New Roman" w:hAnsi="Times New Roman"/>
                <w:b/>
                <w:bCs/>
              </w:rPr>
              <w:instrText>NUMPAGES</w:instrText>
            </w:r>
            <w:r w:rsidRPr="00B60E5E">
              <w:rPr>
                <w:rFonts w:ascii="Times New Roman" w:hAnsi="Times New Roman"/>
                <w:b/>
                <w:bCs/>
                <w:sz w:val="24"/>
                <w:szCs w:val="24"/>
              </w:rPr>
              <w:fldChar w:fldCharType="separate"/>
            </w:r>
            <w:r w:rsidR="00A215BF">
              <w:rPr>
                <w:rFonts w:ascii="Times New Roman" w:hAnsi="Times New Roman"/>
                <w:b/>
                <w:bCs/>
                <w:noProof/>
              </w:rPr>
              <w:t>2</w:t>
            </w:r>
            <w:r w:rsidRPr="00B60E5E">
              <w:rPr>
                <w:rFonts w:ascii="Times New Roman" w:hAnsi="Times New Roman"/>
                <w:b/>
                <w:bCs/>
                <w:sz w:val="24"/>
                <w:szCs w:val="24"/>
              </w:rPr>
              <w:fldChar w:fldCharType="end"/>
            </w:r>
          </w:p>
        </w:sdtContent>
      </w:sdt>
    </w:sdtContent>
  </w:sdt>
  <w:p w14:paraId="599E2B41" w14:textId="77777777" w:rsidR="00B60E5E" w:rsidRDefault="00B60E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D992" w14:textId="77777777" w:rsidR="00CC461A" w:rsidRDefault="00CC461A" w:rsidP="00094095">
      <w:r>
        <w:separator/>
      </w:r>
    </w:p>
  </w:footnote>
  <w:footnote w:type="continuationSeparator" w:id="0">
    <w:p w14:paraId="3C6FB236" w14:textId="77777777" w:rsidR="00CC461A" w:rsidRDefault="00CC461A" w:rsidP="0009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479"/>
    <w:multiLevelType w:val="hybridMultilevel"/>
    <w:tmpl w:val="5DCE0A60"/>
    <w:lvl w:ilvl="0" w:tplc="F3A22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F769BB"/>
    <w:multiLevelType w:val="hybridMultilevel"/>
    <w:tmpl w:val="BD4EDF36"/>
    <w:lvl w:ilvl="0" w:tplc="443AE3D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6A4903"/>
    <w:multiLevelType w:val="hybridMultilevel"/>
    <w:tmpl w:val="1EE6AE00"/>
    <w:lvl w:ilvl="0" w:tplc="9EC20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487CAE"/>
    <w:multiLevelType w:val="hybridMultilevel"/>
    <w:tmpl w:val="F4FAD824"/>
    <w:lvl w:ilvl="0" w:tplc="6D000C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E662F6"/>
    <w:multiLevelType w:val="hybridMultilevel"/>
    <w:tmpl w:val="DCE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146160"/>
    <w:multiLevelType w:val="hybridMultilevel"/>
    <w:tmpl w:val="F702B9EE"/>
    <w:lvl w:ilvl="0" w:tplc="0A6407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EF609C"/>
    <w:multiLevelType w:val="hybridMultilevel"/>
    <w:tmpl w:val="39086938"/>
    <w:lvl w:ilvl="0" w:tplc="61A0C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A10AD1"/>
    <w:multiLevelType w:val="hybridMultilevel"/>
    <w:tmpl w:val="386AB256"/>
    <w:lvl w:ilvl="0" w:tplc="61403A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7E2DA0"/>
    <w:multiLevelType w:val="hybridMultilevel"/>
    <w:tmpl w:val="8C12FCDE"/>
    <w:lvl w:ilvl="0" w:tplc="DE26D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0C73BC"/>
    <w:multiLevelType w:val="hybridMultilevel"/>
    <w:tmpl w:val="A5541D4E"/>
    <w:lvl w:ilvl="0" w:tplc="61403AC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945147"/>
    <w:multiLevelType w:val="hybridMultilevel"/>
    <w:tmpl w:val="8DB6F9B4"/>
    <w:lvl w:ilvl="0" w:tplc="61403AC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C329CE"/>
    <w:multiLevelType w:val="hybridMultilevel"/>
    <w:tmpl w:val="29FC12A8"/>
    <w:lvl w:ilvl="0" w:tplc="D06A0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A9C6ED4"/>
    <w:multiLevelType w:val="hybridMultilevel"/>
    <w:tmpl w:val="2990FC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ED5A21"/>
    <w:multiLevelType w:val="hybridMultilevel"/>
    <w:tmpl w:val="DCE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E36D56"/>
    <w:multiLevelType w:val="hybridMultilevel"/>
    <w:tmpl w:val="8076CFA6"/>
    <w:lvl w:ilvl="0" w:tplc="CBFE46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E7107A7"/>
    <w:multiLevelType w:val="hybridMultilevel"/>
    <w:tmpl w:val="B15C9F64"/>
    <w:lvl w:ilvl="0" w:tplc="6D7A420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5"/>
  </w:num>
  <w:num w:numId="7">
    <w:abstractNumId w:val="0"/>
  </w:num>
  <w:num w:numId="8">
    <w:abstractNumId w:val="14"/>
  </w:num>
  <w:num w:numId="9">
    <w:abstractNumId w:val="4"/>
  </w:num>
  <w:num w:numId="10">
    <w:abstractNumId w:val="12"/>
  </w:num>
  <w:num w:numId="11">
    <w:abstractNumId w:val="8"/>
  </w:num>
  <w:num w:numId="12">
    <w:abstractNumId w:val="7"/>
  </w:num>
  <w:num w:numId="13">
    <w:abstractNumId w:val="9"/>
  </w:num>
  <w:num w:numId="14">
    <w:abstractNumId w:val="10"/>
  </w:num>
  <w:num w:numId="15">
    <w:abstractNumId w:val="5"/>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95"/>
    <w:rsid w:val="00005B69"/>
    <w:rsid w:val="00006080"/>
    <w:rsid w:val="0002587C"/>
    <w:rsid w:val="00036A9D"/>
    <w:rsid w:val="00037213"/>
    <w:rsid w:val="00045507"/>
    <w:rsid w:val="0005594E"/>
    <w:rsid w:val="00060052"/>
    <w:rsid w:val="0007651B"/>
    <w:rsid w:val="00082738"/>
    <w:rsid w:val="00087D30"/>
    <w:rsid w:val="00091646"/>
    <w:rsid w:val="000917F0"/>
    <w:rsid w:val="00094095"/>
    <w:rsid w:val="000A3CA7"/>
    <w:rsid w:val="000B0EC8"/>
    <w:rsid w:val="000C5BC7"/>
    <w:rsid w:val="000E7FC9"/>
    <w:rsid w:val="00100B60"/>
    <w:rsid w:val="001124F5"/>
    <w:rsid w:val="00113543"/>
    <w:rsid w:val="00117B9E"/>
    <w:rsid w:val="00137BCF"/>
    <w:rsid w:val="001417D8"/>
    <w:rsid w:val="00141B38"/>
    <w:rsid w:val="0015166A"/>
    <w:rsid w:val="0015686A"/>
    <w:rsid w:val="00165964"/>
    <w:rsid w:val="001913F9"/>
    <w:rsid w:val="00192C2C"/>
    <w:rsid w:val="00193065"/>
    <w:rsid w:val="001A6CB8"/>
    <w:rsid w:val="001B7B5C"/>
    <w:rsid w:val="001C1B23"/>
    <w:rsid w:val="001E393B"/>
    <w:rsid w:val="00202095"/>
    <w:rsid w:val="0020313A"/>
    <w:rsid w:val="002128F6"/>
    <w:rsid w:val="002158DC"/>
    <w:rsid w:val="002317A5"/>
    <w:rsid w:val="00233AB0"/>
    <w:rsid w:val="00245776"/>
    <w:rsid w:val="00262658"/>
    <w:rsid w:val="00266A6B"/>
    <w:rsid w:val="00287B2F"/>
    <w:rsid w:val="0029252D"/>
    <w:rsid w:val="002D2C5B"/>
    <w:rsid w:val="002E2C9F"/>
    <w:rsid w:val="002E36E3"/>
    <w:rsid w:val="002E720A"/>
    <w:rsid w:val="002F2D60"/>
    <w:rsid w:val="00302FE1"/>
    <w:rsid w:val="003048E8"/>
    <w:rsid w:val="003061D7"/>
    <w:rsid w:val="00307976"/>
    <w:rsid w:val="0031093F"/>
    <w:rsid w:val="003145BC"/>
    <w:rsid w:val="00316B15"/>
    <w:rsid w:val="0032355A"/>
    <w:rsid w:val="003C306B"/>
    <w:rsid w:val="003C75D7"/>
    <w:rsid w:val="003D3128"/>
    <w:rsid w:val="003D60DB"/>
    <w:rsid w:val="003E6E92"/>
    <w:rsid w:val="003F170C"/>
    <w:rsid w:val="004030E1"/>
    <w:rsid w:val="00427074"/>
    <w:rsid w:val="00445F6B"/>
    <w:rsid w:val="00462174"/>
    <w:rsid w:val="004714D6"/>
    <w:rsid w:val="00490013"/>
    <w:rsid w:val="00497E7B"/>
    <w:rsid w:val="004B00C8"/>
    <w:rsid w:val="004B3A56"/>
    <w:rsid w:val="004B686C"/>
    <w:rsid w:val="004C2586"/>
    <w:rsid w:val="00507D9C"/>
    <w:rsid w:val="00525467"/>
    <w:rsid w:val="00527F6A"/>
    <w:rsid w:val="00557102"/>
    <w:rsid w:val="00563A4C"/>
    <w:rsid w:val="00566CC7"/>
    <w:rsid w:val="00574B4E"/>
    <w:rsid w:val="00574F2D"/>
    <w:rsid w:val="0058057F"/>
    <w:rsid w:val="005830FE"/>
    <w:rsid w:val="005A321F"/>
    <w:rsid w:val="005B533D"/>
    <w:rsid w:val="005C3D32"/>
    <w:rsid w:val="005D087D"/>
    <w:rsid w:val="005D1309"/>
    <w:rsid w:val="005D1B7F"/>
    <w:rsid w:val="005E5B91"/>
    <w:rsid w:val="005F167B"/>
    <w:rsid w:val="005F5FFA"/>
    <w:rsid w:val="006113D3"/>
    <w:rsid w:val="00616F24"/>
    <w:rsid w:val="006300C0"/>
    <w:rsid w:val="006408AB"/>
    <w:rsid w:val="00641335"/>
    <w:rsid w:val="0064241C"/>
    <w:rsid w:val="006447F2"/>
    <w:rsid w:val="00644C5B"/>
    <w:rsid w:val="00645D6F"/>
    <w:rsid w:val="006670A5"/>
    <w:rsid w:val="0067330C"/>
    <w:rsid w:val="00675286"/>
    <w:rsid w:val="006844E9"/>
    <w:rsid w:val="00692DA5"/>
    <w:rsid w:val="006A4D58"/>
    <w:rsid w:val="006A4F76"/>
    <w:rsid w:val="006A5728"/>
    <w:rsid w:val="006B49BF"/>
    <w:rsid w:val="006D0734"/>
    <w:rsid w:val="006D6449"/>
    <w:rsid w:val="006E4C68"/>
    <w:rsid w:val="007010A9"/>
    <w:rsid w:val="00713E33"/>
    <w:rsid w:val="00720227"/>
    <w:rsid w:val="00720679"/>
    <w:rsid w:val="00734239"/>
    <w:rsid w:val="007364E2"/>
    <w:rsid w:val="007406C8"/>
    <w:rsid w:val="00742689"/>
    <w:rsid w:val="0074345E"/>
    <w:rsid w:val="0074694B"/>
    <w:rsid w:val="0075247A"/>
    <w:rsid w:val="007543A3"/>
    <w:rsid w:val="00785C5F"/>
    <w:rsid w:val="007A0249"/>
    <w:rsid w:val="007C000E"/>
    <w:rsid w:val="007C7803"/>
    <w:rsid w:val="007D2783"/>
    <w:rsid w:val="008010AD"/>
    <w:rsid w:val="0080386C"/>
    <w:rsid w:val="008110BD"/>
    <w:rsid w:val="008354FF"/>
    <w:rsid w:val="0084303C"/>
    <w:rsid w:val="0084728A"/>
    <w:rsid w:val="008736FC"/>
    <w:rsid w:val="008750C5"/>
    <w:rsid w:val="008764AD"/>
    <w:rsid w:val="00877D76"/>
    <w:rsid w:val="00885D99"/>
    <w:rsid w:val="008926BD"/>
    <w:rsid w:val="0089745C"/>
    <w:rsid w:val="008A7ED7"/>
    <w:rsid w:val="008C10CC"/>
    <w:rsid w:val="008E44E6"/>
    <w:rsid w:val="008E5AC1"/>
    <w:rsid w:val="008F18B2"/>
    <w:rsid w:val="008F634B"/>
    <w:rsid w:val="00900557"/>
    <w:rsid w:val="009134D0"/>
    <w:rsid w:val="0093344B"/>
    <w:rsid w:val="0095347A"/>
    <w:rsid w:val="009733B4"/>
    <w:rsid w:val="0097529A"/>
    <w:rsid w:val="00997099"/>
    <w:rsid w:val="009A7BF2"/>
    <w:rsid w:val="009B22D1"/>
    <w:rsid w:val="009B4532"/>
    <w:rsid w:val="009B5555"/>
    <w:rsid w:val="009C1D9D"/>
    <w:rsid w:val="009C5ACB"/>
    <w:rsid w:val="009E544B"/>
    <w:rsid w:val="009F7FE9"/>
    <w:rsid w:val="00A042B2"/>
    <w:rsid w:val="00A215BF"/>
    <w:rsid w:val="00A43A3E"/>
    <w:rsid w:val="00A5338A"/>
    <w:rsid w:val="00A67610"/>
    <w:rsid w:val="00A73519"/>
    <w:rsid w:val="00A73EC0"/>
    <w:rsid w:val="00A77BD3"/>
    <w:rsid w:val="00AA1A78"/>
    <w:rsid w:val="00AB1BC4"/>
    <w:rsid w:val="00AD646B"/>
    <w:rsid w:val="00AE4C10"/>
    <w:rsid w:val="00AF0BB8"/>
    <w:rsid w:val="00AF6A4E"/>
    <w:rsid w:val="00B01090"/>
    <w:rsid w:val="00B10BBA"/>
    <w:rsid w:val="00B34D88"/>
    <w:rsid w:val="00B357DC"/>
    <w:rsid w:val="00B60E5E"/>
    <w:rsid w:val="00B76AAC"/>
    <w:rsid w:val="00B8768F"/>
    <w:rsid w:val="00BA0750"/>
    <w:rsid w:val="00BA16D2"/>
    <w:rsid w:val="00BA4F7F"/>
    <w:rsid w:val="00BA6F07"/>
    <w:rsid w:val="00BA7437"/>
    <w:rsid w:val="00BB2377"/>
    <w:rsid w:val="00BB3798"/>
    <w:rsid w:val="00BB4C43"/>
    <w:rsid w:val="00BB7F06"/>
    <w:rsid w:val="00BC44C2"/>
    <w:rsid w:val="00BC6BEF"/>
    <w:rsid w:val="00BC768A"/>
    <w:rsid w:val="00BD0B19"/>
    <w:rsid w:val="00BD3D34"/>
    <w:rsid w:val="00BD6EBE"/>
    <w:rsid w:val="00BF0D84"/>
    <w:rsid w:val="00BF6C60"/>
    <w:rsid w:val="00BF7F17"/>
    <w:rsid w:val="00C068D5"/>
    <w:rsid w:val="00C20325"/>
    <w:rsid w:val="00C30030"/>
    <w:rsid w:val="00C318CE"/>
    <w:rsid w:val="00C5127B"/>
    <w:rsid w:val="00C52346"/>
    <w:rsid w:val="00C75B25"/>
    <w:rsid w:val="00C76979"/>
    <w:rsid w:val="00C76F0E"/>
    <w:rsid w:val="00C8184D"/>
    <w:rsid w:val="00C84314"/>
    <w:rsid w:val="00C9068E"/>
    <w:rsid w:val="00CB0CBB"/>
    <w:rsid w:val="00CC461A"/>
    <w:rsid w:val="00CD148B"/>
    <w:rsid w:val="00CD25EE"/>
    <w:rsid w:val="00CD2BEC"/>
    <w:rsid w:val="00CD2CC0"/>
    <w:rsid w:val="00CD5B38"/>
    <w:rsid w:val="00D001A9"/>
    <w:rsid w:val="00D11610"/>
    <w:rsid w:val="00D21777"/>
    <w:rsid w:val="00D2453A"/>
    <w:rsid w:val="00D370A7"/>
    <w:rsid w:val="00D451A4"/>
    <w:rsid w:val="00D515E7"/>
    <w:rsid w:val="00D52E4F"/>
    <w:rsid w:val="00D73A38"/>
    <w:rsid w:val="00DA3B19"/>
    <w:rsid w:val="00DA7701"/>
    <w:rsid w:val="00DC70AB"/>
    <w:rsid w:val="00DD1C7B"/>
    <w:rsid w:val="00DE39D7"/>
    <w:rsid w:val="00DE7DBD"/>
    <w:rsid w:val="00DF4BCE"/>
    <w:rsid w:val="00DF5BA0"/>
    <w:rsid w:val="00E06AD6"/>
    <w:rsid w:val="00E11C0D"/>
    <w:rsid w:val="00E1347C"/>
    <w:rsid w:val="00E21F07"/>
    <w:rsid w:val="00E25016"/>
    <w:rsid w:val="00E32A0C"/>
    <w:rsid w:val="00E34BA1"/>
    <w:rsid w:val="00E43351"/>
    <w:rsid w:val="00E54B29"/>
    <w:rsid w:val="00E85DDF"/>
    <w:rsid w:val="00EB0EE6"/>
    <w:rsid w:val="00EB2B00"/>
    <w:rsid w:val="00EC669A"/>
    <w:rsid w:val="00ED21B1"/>
    <w:rsid w:val="00ED366C"/>
    <w:rsid w:val="00ED4254"/>
    <w:rsid w:val="00EE2784"/>
    <w:rsid w:val="00EE4AF0"/>
    <w:rsid w:val="00F16269"/>
    <w:rsid w:val="00F234B2"/>
    <w:rsid w:val="00F26A0F"/>
    <w:rsid w:val="00F418F4"/>
    <w:rsid w:val="00F41E5F"/>
    <w:rsid w:val="00F42BAC"/>
    <w:rsid w:val="00F5086B"/>
    <w:rsid w:val="00F603AE"/>
    <w:rsid w:val="00F87C1F"/>
    <w:rsid w:val="00FD4A2C"/>
    <w:rsid w:val="00FE3C66"/>
    <w:rsid w:val="00FE4CAC"/>
    <w:rsid w:val="00FF2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6D97"/>
  <w15:chartTrackingRefBased/>
  <w15:docId w15:val="{78C34510-C326-4F87-85E8-29669BE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094095"/>
    <w:pPr>
      <w:snapToGrid w:val="0"/>
      <w:jc w:val="left"/>
    </w:pPr>
  </w:style>
  <w:style w:type="character" w:customStyle="1" w:styleId="a5">
    <w:name w:val="尾注文本 字符"/>
    <w:basedOn w:val="a0"/>
    <w:link w:val="a4"/>
    <w:uiPriority w:val="99"/>
    <w:semiHidden/>
    <w:rsid w:val="00094095"/>
  </w:style>
  <w:style w:type="character" w:styleId="a6">
    <w:name w:val="endnote reference"/>
    <w:uiPriority w:val="99"/>
    <w:semiHidden/>
    <w:unhideWhenUsed/>
    <w:rsid w:val="00094095"/>
    <w:rPr>
      <w:vertAlign w:val="superscript"/>
    </w:rPr>
  </w:style>
  <w:style w:type="paragraph" w:styleId="a7">
    <w:name w:val="header"/>
    <w:basedOn w:val="a"/>
    <w:link w:val="a8"/>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D21777"/>
    <w:rPr>
      <w:sz w:val="18"/>
      <w:szCs w:val="18"/>
    </w:rPr>
  </w:style>
  <w:style w:type="paragraph" w:styleId="a9">
    <w:name w:val="footer"/>
    <w:basedOn w:val="a"/>
    <w:link w:val="aa"/>
    <w:uiPriority w:val="99"/>
    <w:unhideWhenUsed/>
    <w:rsid w:val="00D21777"/>
    <w:pPr>
      <w:tabs>
        <w:tab w:val="center" w:pos="4153"/>
        <w:tab w:val="right" w:pos="8306"/>
      </w:tabs>
      <w:snapToGrid w:val="0"/>
      <w:jc w:val="left"/>
    </w:pPr>
    <w:rPr>
      <w:sz w:val="18"/>
      <w:szCs w:val="18"/>
    </w:rPr>
  </w:style>
  <w:style w:type="character" w:customStyle="1" w:styleId="aa">
    <w:name w:val="页脚 字符"/>
    <w:link w:val="a9"/>
    <w:uiPriority w:val="99"/>
    <w:rsid w:val="00D21777"/>
    <w:rPr>
      <w:sz w:val="18"/>
      <w:szCs w:val="18"/>
    </w:rPr>
  </w:style>
  <w:style w:type="paragraph" w:styleId="ab">
    <w:name w:val="Balloon Text"/>
    <w:basedOn w:val="a"/>
    <w:link w:val="ac"/>
    <w:uiPriority w:val="99"/>
    <w:semiHidden/>
    <w:unhideWhenUsed/>
    <w:rsid w:val="00EE2784"/>
    <w:rPr>
      <w:sz w:val="18"/>
      <w:szCs w:val="18"/>
    </w:rPr>
  </w:style>
  <w:style w:type="character" w:customStyle="1" w:styleId="ac">
    <w:name w:val="批注框文本 字符"/>
    <w:link w:val="ab"/>
    <w:uiPriority w:val="99"/>
    <w:semiHidden/>
    <w:rsid w:val="00EE2784"/>
    <w:rPr>
      <w:kern w:val="2"/>
      <w:sz w:val="18"/>
      <w:szCs w:val="18"/>
    </w:rPr>
  </w:style>
  <w:style w:type="paragraph" w:customStyle="1" w:styleId="1">
    <w:name w:val="列出段落1"/>
    <w:basedOn w:val="a"/>
    <w:uiPriority w:val="34"/>
    <w:qFormat/>
    <w:rsid w:val="00BA7437"/>
    <w:pPr>
      <w:ind w:firstLineChars="200" w:firstLine="420"/>
    </w:pPr>
  </w:style>
  <w:style w:type="paragraph" w:styleId="ad">
    <w:name w:val="List Paragraph"/>
    <w:basedOn w:val="a"/>
    <w:uiPriority w:val="34"/>
    <w:qFormat/>
    <w:rsid w:val="000E7FC9"/>
    <w:pPr>
      <w:ind w:firstLineChars="200" w:firstLine="420"/>
    </w:pPr>
  </w:style>
  <w:style w:type="paragraph" w:styleId="ae">
    <w:name w:val="footnote text"/>
    <w:basedOn w:val="a"/>
    <w:link w:val="af"/>
    <w:uiPriority w:val="99"/>
    <w:semiHidden/>
    <w:rsid w:val="00D001A9"/>
    <w:pPr>
      <w:snapToGrid w:val="0"/>
      <w:jc w:val="left"/>
    </w:pPr>
    <w:rPr>
      <w:rFonts w:ascii="Times New Roman" w:eastAsia="PMingLiU" w:hAnsi="Times New Roman"/>
      <w:sz w:val="20"/>
      <w:szCs w:val="20"/>
      <w:lang w:eastAsia="zh-TW"/>
    </w:rPr>
  </w:style>
  <w:style w:type="character" w:customStyle="1" w:styleId="af">
    <w:name w:val="脚注文本 字符"/>
    <w:link w:val="ae"/>
    <w:uiPriority w:val="99"/>
    <w:semiHidden/>
    <w:rsid w:val="00D001A9"/>
    <w:rPr>
      <w:rFonts w:ascii="Times New Roman" w:eastAsia="PMingLiU" w:hAnsi="Times New Roman"/>
      <w:kern w:val="2"/>
      <w:lang w:eastAsia="zh-TW"/>
    </w:rPr>
  </w:style>
  <w:style w:type="character" w:styleId="af0">
    <w:name w:val="footnote reference"/>
    <w:uiPriority w:val="99"/>
    <w:semiHidden/>
    <w:unhideWhenUsed/>
    <w:rsid w:val="0074694B"/>
    <w:rPr>
      <w:vertAlign w:val="superscript"/>
    </w:rPr>
  </w:style>
  <w:style w:type="character" w:styleId="af1">
    <w:name w:val="annotation reference"/>
    <w:basedOn w:val="a0"/>
    <w:unhideWhenUsed/>
    <w:rsid w:val="00BA6F07"/>
    <w:rPr>
      <w:sz w:val="21"/>
      <w:szCs w:val="21"/>
    </w:rPr>
  </w:style>
  <w:style w:type="paragraph" w:styleId="af2">
    <w:name w:val="annotation text"/>
    <w:basedOn w:val="a"/>
    <w:link w:val="af3"/>
    <w:uiPriority w:val="99"/>
    <w:semiHidden/>
    <w:unhideWhenUsed/>
    <w:rsid w:val="00BA6F07"/>
    <w:pPr>
      <w:jc w:val="left"/>
    </w:pPr>
  </w:style>
  <w:style w:type="character" w:customStyle="1" w:styleId="af3">
    <w:name w:val="批注文字 字符"/>
    <w:basedOn w:val="a0"/>
    <w:link w:val="af2"/>
    <w:uiPriority w:val="99"/>
    <w:semiHidden/>
    <w:rsid w:val="00BA6F07"/>
    <w:rPr>
      <w:kern w:val="2"/>
      <w:sz w:val="21"/>
      <w:szCs w:val="22"/>
    </w:rPr>
  </w:style>
  <w:style w:type="paragraph" w:styleId="af4">
    <w:name w:val="annotation subject"/>
    <w:basedOn w:val="af2"/>
    <w:next w:val="af2"/>
    <w:link w:val="af5"/>
    <w:uiPriority w:val="99"/>
    <w:semiHidden/>
    <w:unhideWhenUsed/>
    <w:rsid w:val="00BA6F07"/>
    <w:rPr>
      <w:b/>
      <w:bCs/>
    </w:rPr>
  </w:style>
  <w:style w:type="character" w:customStyle="1" w:styleId="af5">
    <w:name w:val="批注主题 字符"/>
    <w:basedOn w:val="af3"/>
    <w:link w:val="af4"/>
    <w:uiPriority w:val="99"/>
    <w:semiHidden/>
    <w:rsid w:val="00BA6F0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1A09-8B16-41AE-A4B2-48618E1B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JunHe</cp:lastModifiedBy>
  <cp:revision>21</cp:revision>
  <cp:lastPrinted>2017-01-18T07:04:00Z</cp:lastPrinted>
  <dcterms:created xsi:type="dcterms:W3CDTF">2021-10-28T09:00:00Z</dcterms:created>
  <dcterms:modified xsi:type="dcterms:W3CDTF">2022-05-10T00:03:00Z</dcterms:modified>
</cp:coreProperties>
</file>