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6DF" w14:textId="77777777" w:rsidR="00094095" w:rsidRPr="0091677A" w:rsidRDefault="00094095" w:rsidP="00AB4974">
      <w:pPr>
        <w:jc w:val="center"/>
        <w:rPr>
          <w:rFonts w:ascii="Arial" w:eastAsiaTheme="majorEastAsia" w:hAnsi="Arial" w:cs="Arial"/>
          <w:b/>
          <w:sz w:val="22"/>
        </w:rPr>
      </w:pPr>
      <w:r w:rsidRPr="0091677A">
        <w:rPr>
          <w:rFonts w:ascii="Arial" w:eastAsiaTheme="majorEastAsia" w:hAnsi="Arial" w:cs="Arial" w:hint="eastAsia"/>
          <w:b/>
          <w:sz w:val="22"/>
        </w:rPr>
        <w:t>经营者集中简易案件公示表</w:t>
      </w:r>
    </w:p>
    <w:p w14:paraId="5DBBE1BB" w14:textId="77777777" w:rsidR="00094095" w:rsidRPr="0091677A" w:rsidRDefault="00094095" w:rsidP="00AB4974">
      <w:pPr>
        <w:rPr>
          <w:rFonts w:ascii="Arial" w:eastAsiaTheme="majorEastAsia"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02"/>
        <w:gridCol w:w="5324"/>
      </w:tblGrid>
      <w:tr w:rsidR="00094095" w:rsidRPr="0091677A" w14:paraId="12847F95" w14:textId="77777777" w:rsidTr="001E22BB">
        <w:tc>
          <w:tcPr>
            <w:tcW w:w="1670" w:type="dxa"/>
            <w:shd w:val="clear" w:color="auto" w:fill="D9D9D9"/>
          </w:tcPr>
          <w:p w14:paraId="39A0E85E" w14:textId="77777777" w:rsidR="00094095" w:rsidRPr="0091677A" w:rsidRDefault="0009409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案件名称</w:t>
            </w:r>
          </w:p>
        </w:tc>
        <w:tc>
          <w:tcPr>
            <w:tcW w:w="6626" w:type="dxa"/>
            <w:gridSpan w:val="2"/>
          </w:tcPr>
          <w:p w14:paraId="6CFF203C" w14:textId="55BA7AC9" w:rsidR="00AB4974" w:rsidRPr="0091677A" w:rsidRDefault="00CC0155" w:rsidP="00D12D89">
            <w:pPr>
              <w:adjustRightInd w:val="0"/>
              <w:snapToGrid w:val="0"/>
              <w:spacing w:after="240"/>
              <w:rPr>
                <w:rFonts w:ascii="Times New Roman" w:eastAsia="宋体" w:hAnsi="Times New Roman" w:cs="Arial"/>
                <w:sz w:val="22"/>
              </w:rPr>
            </w:pPr>
            <w:r w:rsidRPr="0091677A">
              <w:rPr>
                <w:rFonts w:ascii="Times New Roman" w:eastAsia="宋体" w:hAnsi="Times New Roman" w:cs="Arial" w:hint="eastAsia"/>
                <w:sz w:val="22"/>
              </w:rPr>
              <w:t>安盛不动产投资管理公司与</w:t>
            </w:r>
            <w:proofErr w:type="spellStart"/>
            <w:r w:rsidR="0053774D" w:rsidRPr="0053774D">
              <w:rPr>
                <w:rFonts w:ascii="Times New Roman" w:eastAsia="宋体" w:hAnsi="Times New Roman" w:cs="Arial"/>
                <w:sz w:val="22"/>
              </w:rPr>
              <w:t>Predica</w:t>
            </w:r>
            <w:proofErr w:type="spellEnd"/>
            <w:r w:rsidR="0053774D" w:rsidRPr="0053774D">
              <w:rPr>
                <w:rFonts w:ascii="Times New Roman" w:eastAsia="宋体" w:hAnsi="Times New Roman" w:cs="Arial"/>
                <w:sz w:val="22"/>
              </w:rPr>
              <w:t xml:space="preserve"> </w:t>
            </w:r>
            <w:proofErr w:type="spellStart"/>
            <w:r w:rsidR="0053774D" w:rsidRPr="0053774D">
              <w:rPr>
                <w:rFonts w:ascii="Times New Roman" w:eastAsia="宋体" w:hAnsi="Times New Roman" w:cs="Arial"/>
                <w:sz w:val="22"/>
              </w:rPr>
              <w:t>Prévoyance</w:t>
            </w:r>
            <w:proofErr w:type="spellEnd"/>
            <w:r w:rsidR="0053774D" w:rsidRPr="0053774D">
              <w:rPr>
                <w:rFonts w:ascii="Times New Roman" w:eastAsia="宋体" w:hAnsi="Times New Roman" w:cs="Arial"/>
                <w:sz w:val="22"/>
              </w:rPr>
              <w:t xml:space="preserve"> Dialogue du Crédit Agricole</w:t>
            </w:r>
            <w:r w:rsidRPr="0091677A">
              <w:rPr>
                <w:rFonts w:ascii="Times New Roman" w:eastAsia="宋体" w:hAnsi="Times New Roman" w:cs="Arial" w:hint="eastAsia"/>
                <w:sz w:val="22"/>
              </w:rPr>
              <w:t>收购</w:t>
            </w:r>
            <w:r w:rsidRPr="0091677A">
              <w:rPr>
                <w:rFonts w:ascii="Times New Roman" w:eastAsia="宋体" w:hAnsi="Times New Roman" w:cs="Arial" w:hint="eastAsia"/>
                <w:sz w:val="22"/>
              </w:rPr>
              <w:t>Hornsea Two</w:t>
            </w:r>
            <w:r w:rsidR="00D12D89" w:rsidRPr="0091677A">
              <w:rPr>
                <w:rFonts w:ascii="Times New Roman" w:eastAsia="宋体" w:hAnsi="Times New Roman" w:cs="Arial" w:hint="eastAsia"/>
                <w:sz w:val="22"/>
              </w:rPr>
              <w:t>控股有限公司</w:t>
            </w:r>
            <w:r w:rsidRPr="0091677A">
              <w:rPr>
                <w:rFonts w:ascii="Times New Roman" w:eastAsia="宋体" w:hAnsi="Times New Roman" w:cs="Arial" w:hint="eastAsia"/>
                <w:sz w:val="22"/>
              </w:rPr>
              <w:t>股权</w:t>
            </w:r>
            <w:r w:rsidR="000E0B36" w:rsidRPr="0091677A">
              <w:rPr>
                <w:rFonts w:ascii="Times New Roman" w:eastAsia="宋体" w:hAnsi="Times New Roman" w:cs="Arial" w:hint="eastAsia"/>
                <w:sz w:val="22"/>
              </w:rPr>
              <w:t>案</w:t>
            </w:r>
            <w:r w:rsidR="00E9142E" w:rsidRPr="0091677A">
              <w:rPr>
                <w:rFonts w:ascii="Times New Roman" w:eastAsia="宋体" w:hAnsi="Times New Roman" w:cs="Arial" w:hint="eastAsia"/>
                <w:sz w:val="22"/>
              </w:rPr>
              <w:t>（“</w:t>
            </w:r>
            <w:r w:rsidR="00E9142E" w:rsidRPr="0091677A">
              <w:rPr>
                <w:rFonts w:ascii="Times New Roman" w:eastAsia="宋体" w:hAnsi="Times New Roman" w:cs="Arial" w:hint="eastAsia"/>
                <w:b/>
                <w:bCs/>
                <w:sz w:val="22"/>
              </w:rPr>
              <w:t>本交易</w:t>
            </w:r>
            <w:r w:rsidR="00E9142E" w:rsidRPr="0091677A">
              <w:rPr>
                <w:rFonts w:ascii="Times New Roman" w:eastAsia="宋体" w:hAnsi="Times New Roman" w:cs="Arial" w:hint="eastAsia"/>
                <w:sz w:val="22"/>
              </w:rPr>
              <w:t>”）</w:t>
            </w:r>
          </w:p>
        </w:tc>
      </w:tr>
      <w:tr w:rsidR="00094095" w:rsidRPr="0091677A" w14:paraId="5A621B79" w14:textId="77777777" w:rsidTr="001E22BB">
        <w:trPr>
          <w:trHeight w:val="993"/>
        </w:trPr>
        <w:tc>
          <w:tcPr>
            <w:tcW w:w="1670" w:type="dxa"/>
            <w:shd w:val="clear" w:color="auto" w:fill="D9D9D9"/>
          </w:tcPr>
          <w:p w14:paraId="001F2C42" w14:textId="77777777" w:rsidR="00094095" w:rsidRPr="0091677A" w:rsidRDefault="0009409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交易概况（限</w:t>
            </w:r>
            <w:r w:rsidRPr="0091677A">
              <w:rPr>
                <w:rFonts w:ascii="Times New Roman" w:eastAsia="宋体" w:hAnsi="Times New Roman" w:cs="Arial" w:hint="eastAsia"/>
                <w:sz w:val="22"/>
              </w:rPr>
              <w:t>200</w:t>
            </w:r>
            <w:r w:rsidRPr="0091677A">
              <w:rPr>
                <w:rFonts w:ascii="Times New Roman" w:eastAsia="宋体" w:hAnsi="Times New Roman" w:cs="Arial" w:hint="eastAsia"/>
                <w:sz w:val="22"/>
              </w:rPr>
              <w:t>字内）</w:t>
            </w:r>
          </w:p>
        </w:tc>
        <w:tc>
          <w:tcPr>
            <w:tcW w:w="6626" w:type="dxa"/>
            <w:gridSpan w:val="2"/>
          </w:tcPr>
          <w:p w14:paraId="5183E1F6" w14:textId="64F58BFD" w:rsidR="00CC0155" w:rsidRPr="0091677A" w:rsidRDefault="00CC0155" w:rsidP="00D12D89">
            <w:pPr>
              <w:adjustRightInd w:val="0"/>
              <w:snapToGrid w:val="0"/>
              <w:spacing w:after="240"/>
              <w:rPr>
                <w:rFonts w:ascii="Times New Roman" w:eastAsia="宋体" w:hAnsi="Times New Roman" w:cs="Arial"/>
                <w:sz w:val="22"/>
              </w:rPr>
            </w:pPr>
            <w:r w:rsidRPr="0091677A">
              <w:rPr>
                <w:rFonts w:ascii="Times New Roman" w:eastAsia="宋体" w:hAnsi="Times New Roman" w:cs="Arial" w:hint="eastAsia"/>
                <w:sz w:val="22"/>
              </w:rPr>
              <w:t>本交易涉及安盛不动产投资管理公司（与其关联方统称为“</w:t>
            </w:r>
            <w:r w:rsidRPr="0091677A">
              <w:rPr>
                <w:rFonts w:ascii="Times New Roman" w:eastAsia="宋体" w:hAnsi="Times New Roman" w:cs="Arial" w:hint="eastAsia"/>
                <w:b/>
                <w:bCs/>
                <w:sz w:val="22"/>
              </w:rPr>
              <w:t>安盛集团</w:t>
            </w:r>
            <w:r w:rsidRPr="0091677A">
              <w:rPr>
                <w:rFonts w:ascii="Times New Roman" w:eastAsia="宋体" w:hAnsi="Times New Roman" w:cs="Arial" w:hint="eastAsia"/>
                <w:sz w:val="22"/>
              </w:rPr>
              <w:t>”）和</w:t>
            </w:r>
            <w:proofErr w:type="spellStart"/>
            <w:r w:rsidR="0053774D" w:rsidRPr="0053774D">
              <w:rPr>
                <w:rFonts w:ascii="Times New Roman" w:eastAsia="宋体" w:hAnsi="Times New Roman" w:cs="Arial"/>
                <w:sz w:val="22"/>
              </w:rPr>
              <w:t>Predica</w:t>
            </w:r>
            <w:proofErr w:type="spellEnd"/>
            <w:r w:rsidR="0053774D" w:rsidRPr="0053774D">
              <w:rPr>
                <w:rFonts w:ascii="Times New Roman" w:eastAsia="宋体" w:hAnsi="Times New Roman" w:cs="Arial"/>
                <w:sz w:val="22"/>
              </w:rPr>
              <w:t xml:space="preserve"> </w:t>
            </w:r>
            <w:proofErr w:type="spellStart"/>
            <w:r w:rsidR="0053774D" w:rsidRPr="0053774D">
              <w:rPr>
                <w:rFonts w:ascii="Times New Roman" w:eastAsia="宋体" w:hAnsi="Times New Roman" w:cs="Arial"/>
                <w:sz w:val="22"/>
              </w:rPr>
              <w:t>Prévoyance</w:t>
            </w:r>
            <w:proofErr w:type="spellEnd"/>
            <w:r w:rsidR="0053774D" w:rsidRPr="0053774D">
              <w:rPr>
                <w:rFonts w:ascii="Times New Roman" w:eastAsia="宋体" w:hAnsi="Times New Roman" w:cs="Arial"/>
                <w:sz w:val="22"/>
              </w:rPr>
              <w:t xml:space="preserve"> Dialogue du Crédit Agricole</w:t>
            </w:r>
            <w:r w:rsidRPr="0091677A">
              <w:rPr>
                <w:rFonts w:ascii="Times New Roman" w:eastAsia="宋体" w:hAnsi="Times New Roman" w:cs="Arial" w:hint="eastAsia"/>
                <w:sz w:val="22"/>
              </w:rPr>
              <w:t>（“</w:t>
            </w:r>
            <w:proofErr w:type="spellStart"/>
            <w:r w:rsidR="007F0C32" w:rsidRPr="0091677A">
              <w:rPr>
                <w:rFonts w:ascii="Times New Roman" w:eastAsia="宋体" w:hAnsi="Times New Roman" w:cs="Arial" w:hint="eastAsia"/>
                <w:b/>
                <w:bCs/>
                <w:sz w:val="22"/>
              </w:rPr>
              <w:t>P</w:t>
            </w:r>
            <w:r w:rsidR="007F0C32" w:rsidRPr="0091677A">
              <w:rPr>
                <w:rFonts w:ascii="Times New Roman" w:eastAsia="宋体" w:hAnsi="Times New Roman" w:cs="Arial"/>
                <w:b/>
                <w:bCs/>
                <w:sz w:val="22"/>
              </w:rPr>
              <w:t>redica</w:t>
            </w:r>
            <w:proofErr w:type="spellEnd"/>
            <w:r w:rsidRPr="0091677A">
              <w:rPr>
                <w:rFonts w:ascii="Times New Roman" w:eastAsia="宋体" w:hAnsi="Times New Roman" w:cs="Arial" w:hint="eastAsia"/>
                <w:sz w:val="22"/>
              </w:rPr>
              <w:t>”）间接收购</w:t>
            </w:r>
            <w:r w:rsidRPr="0091677A">
              <w:rPr>
                <w:rFonts w:ascii="Times New Roman" w:eastAsia="宋体" w:hAnsi="Times New Roman" w:cs="Arial"/>
                <w:sz w:val="22"/>
              </w:rPr>
              <w:t>Hornsea Two</w:t>
            </w:r>
            <w:r w:rsidR="00D12D89" w:rsidRPr="0091677A">
              <w:rPr>
                <w:rFonts w:ascii="Times New Roman" w:eastAsia="宋体" w:hAnsi="Times New Roman" w:cs="Arial" w:hint="eastAsia"/>
                <w:sz w:val="22"/>
              </w:rPr>
              <w:t>控股有限公司</w:t>
            </w:r>
            <w:r w:rsidRPr="0091677A">
              <w:rPr>
                <w:rFonts w:ascii="Times New Roman" w:eastAsia="宋体" w:hAnsi="Times New Roman" w:cs="Arial" w:hint="eastAsia"/>
                <w:sz w:val="22"/>
              </w:rPr>
              <w:t>（“</w:t>
            </w:r>
            <w:r w:rsidRPr="0091677A">
              <w:rPr>
                <w:rFonts w:ascii="Times New Roman" w:eastAsia="宋体" w:hAnsi="Times New Roman" w:cs="Arial" w:hint="eastAsia"/>
                <w:b/>
                <w:bCs/>
                <w:sz w:val="22"/>
              </w:rPr>
              <w:t>目标公司</w:t>
            </w:r>
            <w:r w:rsidRPr="0091677A">
              <w:rPr>
                <w:rFonts w:ascii="Times New Roman" w:eastAsia="宋体" w:hAnsi="Times New Roman" w:cs="Arial" w:hint="eastAsia"/>
                <w:sz w:val="22"/>
              </w:rPr>
              <w:t>”）的</w:t>
            </w:r>
            <w:r w:rsidRPr="0091677A">
              <w:rPr>
                <w:rFonts w:ascii="Times New Roman" w:eastAsia="宋体" w:hAnsi="Times New Roman" w:cs="Arial" w:hint="eastAsia"/>
                <w:sz w:val="22"/>
              </w:rPr>
              <w:t>50%</w:t>
            </w:r>
            <w:r w:rsidRPr="0091677A">
              <w:rPr>
                <w:rFonts w:ascii="Times New Roman" w:eastAsia="宋体" w:hAnsi="Times New Roman" w:cs="Arial" w:hint="eastAsia"/>
                <w:sz w:val="22"/>
              </w:rPr>
              <w:t>股权</w:t>
            </w:r>
            <w:r w:rsidR="00CE5EC4" w:rsidRPr="0091677A">
              <w:rPr>
                <w:rFonts w:ascii="Times New Roman" w:eastAsia="宋体" w:hAnsi="Times New Roman" w:cs="Arial" w:hint="eastAsia"/>
                <w:sz w:val="22"/>
              </w:rPr>
              <w:t>。</w:t>
            </w:r>
          </w:p>
          <w:p w14:paraId="3B73892B" w14:textId="476C6F1D" w:rsidR="00AB4974" w:rsidRPr="0091677A" w:rsidRDefault="00CC0155" w:rsidP="00D12D89">
            <w:pPr>
              <w:adjustRightInd w:val="0"/>
              <w:snapToGrid w:val="0"/>
              <w:spacing w:after="240"/>
              <w:rPr>
                <w:rFonts w:ascii="Times New Roman" w:eastAsia="宋体" w:hAnsi="Times New Roman" w:cs="Arial"/>
                <w:sz w:val="22"/>
              </w:rPr>
            </w:pPr>
            <w:r w:rsidRPr="0091677A">
              <w:rPr>
                <w:rFonts w:ascii="Times New Roman" w:eastAsia="宋体" w:hAnsi="Times New Roman" w:cs="Arial" w:hint="eastAsia"/>
                <w:sz w:val="22"/>
              </w:rPr>
              <w:t>目前，目标公司由沃旭</w:t>
            </w:r>
            <w:r w:rsidR="00D12D89" w:rsidRPr="0091677A">
              <w:rPr>
                <w:rFonts w:ascii="Times New Roman" w:eastAsia="宋体" w:hAnsi="Times New Roman" w:cs="Arial" w:hint="eastAsia"/>
                <w:sz w:val="22"/>
              </w:rPr>
              <w:t>风力发电</w:t>
            </w:r>
            <w:r w:rsidRPr="0091677A">
              <w:rPr>
                <w:rFonts w:ascii="Times New Roman" w:eastAsia="宋体" w:hAnsi="Times New Roman" w:cs="Arial" w:hint="eastAsia"/>
                <w:sz w:val="22"/>
              </w:rPr>
              <w:t>公司（与其关联方统称为“</w:t>
            </w:r>
            <w:r w:rsidRPr="0091677A">
              <w:rPr>
                <w:rFonts w:ascii="Times New Roman" w:eastAsia="宋体" w:hAnsi="Times New Roman" w:cs="Arial" w:hint="eastAsia"/>
                <w:b/>
                <w:bCs/>
                <w:sz w:val="22"/>
              </w:rPr>
              <w:t>卖方集团</w:t>
            </w:r>
            <w:r w:rsidRPr="0091677A">
              <w:rPr>
                <w:rFonts w:ascii="Times New Roman" w:eastAsia="宋体" w:hAnsi="Times New Roman" w:cs="Arial" w:hint="eastAsia"/>
                <w:sz w:val="22"/>
              </w:rPr>
              <w:t>”）全资拥有。本交易完成后，安盛集团、</w:t>
            </w:r>
            <w:proofErr w:type="spellStart"/>
            <w:r w:rsidR="007F0C32" w:rsidRPr="0091677A">
              <w:rPr>
                <w:rFonts w:ascii="Times New Roman" w:eastAsia="宋体" w:hAnsi="Times New Roman" w:cs="Arial" w:hint="eastAsia"/>
                <w:sz w:val="22"/>
              </w:rPr>
              <w:t>P</w:t>
            </w:r>
            <w:r w:rsidR="007F0C32" w:rsidRPr="0091677A">
              <w:rPr>
                <w:rFonts w:ascii="Times New Roman" w:eastAsia="宋体" w:hAnsi="Times New Roman" w:cs="Arial"/>
                <w:sz w:val="22"/>
              </w:rPr>
              <w:t>redica</w:t>
            </w:r>
            <w:proofErr w:type="spellEnd"/>
            <w:r w:rsidRPr="0091677A">
              <w:rPr>
                <w:rFonts w:ascii="Times New Roman" w:eastAsia="宋体" w:hAnsi="Times New Roman" w:cs="Arial" w:hint="eastAsia"/>
                <w:sz w:val="22"/>
              </w:rPr>
              <w:t>和卖方集团将各自间接持有目标公司</w:t>
            </w:r>
            <w:r w:rsidRPr="0091677A">
              <w:rPr>
                <w:rFonts w:ascii="Times New Roman" w:eastAsia="宋体" w:hAnsi="Times New Roman" w:cs="Arial" w:hint="eastAsia"/>
                <w:sz w:val="22"/>
              </w:rPr>
              <w:t>25%</w:t>
            </w:r>
            <w:r w:rsidRPr="0091677A">
              <w:rPr>
                <w:rFonts w:ascii="Times New Roman" w:eastAsia="宋体" w:hAnsi="Times New Roman" w:cs="Arial" w:hint="eastAsia"/>
                <w:sz w:val="22"/>
              </w:rPr>
              <w:t>、</w:t>
            </w:r>
            <w:r w:rsidRPr="0091677A">
              <w:rPr>
                <w:rFonts w:ascii="Times New Roman" w:eastAsia="宋体" w:hAnsi="Times New Roman" w:cs="Arial" w:hint="eastAsia"/>
                <w:sz w:val="22"/>
              </w:rPr>
              <w:t>25%</w:t>
            </w:r>
            <w:r w:rsidRPr="0091677A">
              <w:rPr>
                <w:rFonts w:ascii="Times New Roman" w:eastAsia="宋体" w:hAnsi="Times New Roman" w:cs="Arial" w:hint="eastAsia"/>
                <w:sz w:val="22"/>
              </w:rPr>
              <w:t>和</w:t>
            </w:r>
            <w:r w:rsidRPr="0091677A">
              <w:rPr>
                <w:rFonts w:ascii="Times New Roman" w:eastAsia="宋体" w:hAnsi="Times New Roman" w:cs="Arial" w:hint="eastAsia"/>
                <w:sz w:val="22"/>
              </w:rPr>
              <w:t>50%</w:t>
            </w:r>
            <w:r w:rsidRPr="0091677A">
              <w:rPr>
                <w:rFonts w:ascii="Times New Roman" w:eastAsia="宋体" w:hAnsi="Times New Roman" w:cs="Arial" w:hint="eastAsia"/>
                <w:sz w:val="22"/>
              </w:rPr>
              <w:t>的股权，并将共同</w:t>
            </w:r>
            <w:r w:rsidR="00D12D89" w:rsidRPr="0091677A">
              <w:rPr>
                <w:rFonts w:ascii="Times New Roman" w:eastAsia="宋体" w:hAnsi="Times New Roman" w:cs="Arial" w:hint="eastAsia"/>
                <w:sz w:val="22"/>
              </w:rPr>
              <w:t>间接</w:t>
            </w:r>
            <w:r w:rsidRPr="0091677A">
              <w:rPr>
                <w:rFonts w:ascii="Times New Roman" w:eastAsia="宋体" w:hAnsi="Times New Roman" w:cs="Arial" w:hint="eastAsia"/>
                <w:sz w:val="22"/>
              </w:rPr>
              <w:t>控制目标公司。</w:t>
            </w:r>
          </w:p>
        </w:tc>
      </w:tr>
      <w:tr w:rsidR="001E22BB" w:rsidRPr="0091677A" w14:paraId="071EEFC8" w14:textId="77777777" w:rsidTr="008F2A34">
        <w:trPr>
          <w:trHeight w:val="468"/>
        </w:trPr>
        <w:tc>
          <w:tcPr>
            <w:tcW w:w="1670" w:type="dxa"/>
            <w:vMerge w:val="restart"/>
            <w:shd w:val="clear" w:color="auto" w:fill="D9D9D9"/>
          </w:tcPr>
          <w:p w14:paraId="00C4DD88" w14:textId="77777777" w:rsidR="00094095" w:rsidRPr="0091677A" w:rsidRDefault="0009409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参与集中的经营者简介</w:t>
            </w:r>
          </w:p>
        </w:tc>
        <w:tc>
          <w:tcPr>
            <w:tcW w:w="1302" w:type="dxa"/>
          </w:tcPr>
          <w:p w14:paraId="1B736574" w14:textId="7EA5FBE2" w:rsidR="00094095" w:rsidRPr="0091677A" w:rsidRDefault="0009409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1</w:t>
            </w:r>
            <w:r w:rsidRPr="0091677A">
              <w:rPr>
                <w:rFonts w:ascii="Times New Roman" w:eastAsia="宋体" w:hAnsi="Times New Roman" w:cs="Arial" w:hint="eastAsia"/>
                <w:sz w:val="22"/>
              </w:rPr>
              <w:t>、</w:t>
            </w:r>
            <w:r w:rsidR="00CC0155" w:rsidRPr="0091677A">
              <w:rPr>
                <w:rFonts w:ascii="Times New Roman" w:eastAsia="宋体" w:hAnsi="Times New Roman" w:cs="Arial" w:hint="eastAsia"/>
                <w:sz w:val="22"/>
              </w:rPr>
              <w:t>安盛不动产投资管理公司</w:t>
            </w:r>
          </w:p>
        </w:tc>
        <w:tc>
          <w:tcPr>
            <w:tcW w:w="5324" w:type="dxa"/>
          </w:tcPr>
          <w:p w14:paraId="3507CBB7" w14:textId="25EF8886" w:rsidR="00AB4974" w:rsidRPr="0091677A" w:rsidRDefault="00C63375" w:rsidP="00D12D89">
            <w:pPr>
              <w:adjustRightInd w:val="0"/>
              <w:snapToGrid w:val="0"/>
              <w:spacing w:after="240"/>
              <w:rPr>
                <w:rFonts w:ascii="Times New Roman" w:eastAsia="宋体" w:hAnsi="Times New Roman" w:cs="Arial"/>
                <w:sz w:val="22"/>
              </w:rPr>
            </w:pPr>
            <w:r w:rsidRPr="0091677A">
              <w:rPr>
                <w:rFonts w:ascii="Times New Roman" w:eastAsia="宋体" w:hAnsi="Times New Roman" w:cs="Arial" w:hint="eastAsia"/>
                <w:sz w:val="22"/>
              </w:rPr>
              <w:t>安盛集团是一家总部位于</w:t>
            </w:r>
            <w:r w:rsidR="00395CBD" w:rsidRPr="0091677A">
              <w:rPr>
                <w:rFonts w:ascii="Times New Roman" w:eastAsia="宋体" w:hAnsi="Times New Roman" w:cs="Arial" w:hint="eastAsia"/>
                <w:sz w:val="22"/>
              </w:rPr>
              <w:t>法国</w:t>
            </w:r>
            <w:r w:rsidRPr="0091677A">
              <w:rPr>
                <w:rFonts w:ascii="Times New Roman" w:eastAsia="宋体" w:hAnsi="Times New Roman" w:cs="Arial" w:hint="eastAsia"/>
                <w:sz w:val="22"/>
              </w:rPr>
              <w:t>巴黎的全球保险集团。安盛的集团成员公司从事人寿、健康和其他形式的保险以及投资管理业务。有关安盛集团业务活动的更多信息，请参见其网站</w:t>
            </w:r>
            <w:hyperlink r:id="rId8" w:history="1">
              <w:r w:rsidRPr="0091677A">
                <w:rPr>
                  <w:rStyle w:val="Hyperlink"/>
                  <w:rFonts w:ascii="Times New Roman" w:eastAsia="宋体" w:hAnsi="Times New Roman" w:cs="Arial" w:hint="eastAsia"/>
                  <w:sz w:val="22"/>
                </w:rPr>
                <w:t>www.AXA.com</w:t>
              </w:r>
            </w:hyperlink>
            <w:r w:rsidRPr="0091677A">
              <w:rPr>
                <w:rFonts w:ascii="Times New Roman" w:eastAsia="宋体" w:hAnsi="Times New Roman" w:cs="Arial" w:hint="eastAsia"/>
                <w:sz w:val="22"/>
              </w:rPr>
              <w:t>。</w:t>
            </w:r>
          </w:p>
        </w:tc>
      </w:tr>
      <w:tr w:rsidR="001E22BB" w:rsidRPr="0091677A" w14:paraId="7D68561E" w14:textId="77777777" w:rsidTr="008F2A34">
        <w:trPr>
          <w:trHeight w:val="404"/>
        </w:trPr>
        <w:tc>
          <w:tcPr>
            <w:tcW w:w="1670" w:type="dxa"/>
            <w:vMerge/>
            <w:shd w:val="clear" w:color="auto" w:fill="D9D9D9"/>
          </w:tcPr>
          <w:p w14:paraId="48E181A4" w14:textId="77777777" w:rsidR="00094095" w:rsidRPr="0091677A" w:rsidRDefault="00094095" w:rsidP="00AB4974">
            <w:pPr>
              <w:adjustRightInd w:val="0"/>
              <w:snapToGrid w:val="0"/>
              <w:rPr>
                <w:rFonts w:ascii="Times New Roman" w:eastAsia="宋体" w:hAnsi="Times New Roman" w:cs="Arial"/>
                <w:sz w:val="22"/>
              </w:rPr>
            </w:pPr>
          </w:p>
        </w:tc>
        <w:tc>
          <w:tcPr>
            <w:tcW w:w="1302" w:type="dxa"/>
          </w:tcPr>
          <w:p w14:paraId="0E3758B2" w14:textId="2CB2FF11" w:rsidR="00094095" w:rsidRPr="0091677A" w:rsidRDefault="0009409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2</w:t>
            </w:r>
            <w:r w:rsidRPr="0091677A">
              <w:rPr>
                <w:rFonts w:ascii="Times New Roman" w:eastAsia="宋体" w:hAnsi="Times New Roman" w:cs="Arial" w:hint="eastAsia"/>
                <w:sz w:val="22"/>
              </w:rPr>
              <w:t>、</w:t>
            </w:r>
            <w:r w:rsidR="007F0C32" w:rsidRPr="0091677A">
              <w:rPr>
                <w:rFonts w:ascii="Times New Roman" w:eastAsia="宋体" w:hAnsi="Times New Roman" w:cs="Arial"/>
                <w:sz w:val="22"/>
              </w:rPr>
              <w:t xml:space="preserve"> </w:t>
            </w:r>
            <w:proofErr w:type="spellStart"/>
            <w:r w:rsidR="007F0C32" w:rsidRPr="0091677A">
              <w:rPr>
                <w:rFonts w:ascii="Times New Roman" w:eastAsia="宋体" w:hAnsi="Times New Roman" w:cs="Arial"/>
                <w:sz w:val="22"/>
              </w:rPr>
              <w:t>Predica</w:t>
            </w:r>
            <w:proofErr w:type="spellEnd"/>
          </w:p>
        </w:tc>
        <w:tc>
          <w:tcPr>
            <w:tcW w:w="5324" w:type="dxa"/>
          </w:tcPr>
          <w:p w14:paraId="7C5253DE" w14:textId="2AAD221F" w:rsidR="008F2A34" w:rsidRPr="0091677A" w:rsidRDefault="007F0C32" w:rsidP="00D12D89">
            <w:pPr>
              <w:adjustRightInd w:val="0"/>
              <w:snapToGrid w:val="0"/>
              <w:spacing w:after="240"/>
              <w:rPr>
                <w:rFonts w:ascii="Times New Roman" w:eastAsia="宋体" w:hAnsi="Times New Roman" w:cs="Arial"/>
                <w:sz w:val="22"/>
              </w:rPr>
            </w:pPr>
            <w:bookmarkStart w:id="0" w:name="OLE_LINK23"/>
            <w:proofErr w:type="spellStart"/>
            <w:r w:rsidRPr="0091677A">
              <w:rPr>
                <w:rFonts w:ascii="Times New Roman" w:eastAsia="宋体" w:hAnsi="Times New Roman" w:cs="Arial" w:hint="eastAsia"/>
                <w:sz w:val="22"/>
              </w:rPr>
              <w:t>Predica</w:t>
            </w:r>
            <w:bookmarkEnd w:id="0"/>
            <w:proofErr w:type="spellEnd"/>
            <w:r w:rsidRPr="0091677A">
              <w:rPr>
                <w:rFonts w:ascii="Times New Roman" w:eastAsia="宋体" w:hAnsi="Times New Roman" w:cs="Arial" w:hint="eastAsia"/>
                <w:sz w:val="22"/>
              </w:rPr>
              <w:t>注册办公室位于法国巴黎，主要从事人寿和健康保险业务。</w:t>
            </w:r>
            <w:proofErr w:type="spellStart"/>
            <w:r w:rsidRPr="0091677A">
              <w:rPr>
                <w:rFonts w:ascii="Times New Roman" w:eastAsia="宋体" w:hAnsi="Times New Roman" w:cs="Arial" w:hint="eastAsia"/>
                <w:sz w:val="22"/>
              </w:rPr>
              <w:t>Predica</w:t>
            </w:r>
            <w:proofErr w:type="spellEnd"/>
            <w:r w:rsidRPr="0091677A">
              <w:rPr>
                <w:rFonts w:ascii="Times New Roman" w:eastAsia="宋体" w:hAnsi="Times New Roman" w:cs="Arial" w:hint="eastAsia"/>
                <w:sz w:val="22"/>
              </w:rPr>
              <w:t>隶属</w:t>
            </w:r>
            <w:r w:rsidR="00D12D89" w:rsidRPr="0091677A">
              <w:rPr>
                <w:rFonts w:ascii="Times New Roman" w:eastAsia="宋体" w:hAnsi="Times New Roman" w:cs="Arial" w:hint="eastAsia"/>
                <w:sz w:val="22"/>
              </w:rPr>
              <w:t>法国农业信贷银行集团</w:t>
            </w:r>
            <w:r w:rsidRPr="0091677A">
              <w:rPr>
                <w:rFonts w:ascii="Times New Roman" w:eastAsia="宋体" w:hAnsi="Times New Roman" w:cs="Arial" w:hint="eastAsia"/>
                <w:sz w:val="22"/>
              </w:rPr>
              <w:t>，</w:t>
            </w:r>
            <w:r w:rsidR="00D12D89" w:rsidRPr="0091677A">
              <w:rPr>
                <w:rFonts w:ascii="Times New Roman" w:eastAsia="宋体" w:hAnsi="Times New Roman" w:cs="Arial" w:hint="eastAsia"/>
                <w:sz w:val="22"/>
              </w:rPr>
              <w:t>法国农业信贷银行集团</w:t>
            </w:r>
            <w:r w:rsidRPr="0091677A">
              <w:rPr>
                <w:rFonts w:ascii="Times New Roman" w:eastAsia="宋体" w:hAnsi="Times New Roman" w:cs="Arial" w:hint="eastAsia"/>
                <w:sz w:val="22"/>
              </w:rPr>
              <w:t>是一家合作金融机构，主要提供零售银行、企业银行、投资银行、私人银行、财富管理、资产管理和保险服务。</w:t>
            </w:r>
          </w:p>
        </w:tc>
      </w:tr>
      <w:tr w:rsidR="00C63375" w:rsidRPr="0091677A" w14:paraId="4D97D2C2" w14:textId="77777777" w:rsidTr="00C63375">
        <w:trPr>
          <w:trHeight w:val="1208"/>
        </w:trPr>
        <w:tc>
          <w:tcPr>
            <w:tcW w:w="1670" w:type="dxa"/>
            <w:vMerge/>
            <w:shd w:val="clear" w:color="auto" w:fill="D9D9D9"/>
          </w:tcPr>
          <w:p w14:paraId="26BCC173" w14:textId="77777777" w:rsidR="00C63375" w:rsidRPr="0091677A" w:rsidRDefault="00C63375" w:rsidP="00AB4974">
            <w:pPr>
              <w:adjustRightInd w:val="0"/>
              <w:snapToGrid w:val="0"/>
              <w:rPr>
                <w:rFonts w:ascii="Times New Roman" w:eastAsia="宋体" w:hAnsi="Times New Roman" w:cs="Arial"/>
                <w:sz w:val="22"/>
              </w:rPr>
            </w:pPr>
          </w:p>
        </w:tc>
        <w:tc>
          <w:tcPr>
            <w:tcW w:w="1302" w:type="dxa"/>
          </w:tcPr>
          <w:p w14:paraId="71707EA8" w14:textId="77777777" w:rsidR="00C63375" w:rsidRPr="0091677A" w:rsidRDefault="00C6337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3</w:t>
            </w:r>
            <w:r w:rsidRPr="0091677A">
              <w:rPr>
                <w:rFonts w:ascii="Times New Roman" w:eastAsia="宋体" w:hAnsi="Times New Roman" w:cs="Arial" w:hint="eastAsia"/>
                <w:sz w:val="22"/>
              </w:rPr>
              <w:t>、沃旭风电公司</w:t>
            </w:r>
          </w:p>
          <w:p w14:paraId="325618B1" w14:textId="6F1737C5" w:rsidR="00C63375" w:rsidRPr="0091677A" w:rsidRDefault="00C63375" w:rsidP="00AB4974">
            <w:pPr>
              <w:adjustRightInd w:val="0"/>
              <w:snapToGrid w:val="0"/>
              <w:rPr>
                <w:rFonts w:ascii="Times New Roman" w:eastAsia="宋体" w:hAnsi="Times New Roman" w:cs="Arial"/>
                <w:sz w:val="22"/>
              </w:rPr>
            </w:pPr>
          </w:p>
        </w:tc>
        <w:tc>
          <w:tcPr>
            <w:tcW w:w="5324" w:type="dxa"/>
          </w:tcPr>
          <w:p w14:paraId="2BFE15D2" w14:textId="3ABFD296" w:rsidR="00C63375" w:rsidRPr="0091677A" w:rsidRDefault="00C63375" w:rsidP="00D12D89">
            <w:pPr>
              <w:adjustRightInd w:val="0"/>
              <w:snapToGrid w:val="0"/>
              <w:spacing w:after="240"/>
              <w:rPr>
                <w:rFonts w:ascii="Times New Roman" w:eastAsia="宋体" w:hAnsi="Times New Roman" w:cs="Arial"/>
                <w:sz w:val="22"/>
              </w:rPr>
            </w:pPr>
            <w:r w:rsidRPr="0091677A">
              <w:rPr>
                <w:rFonts w:ascii="Times New Roman" w:eastAsia="宋体" w:hAnsi="Times New Roman" w:cs="Arial" w:hint="eastAsia"/>
                <w:sz w:val="22"/>
              </w:rPr>
              <w:t>沃旭</w:t>
            </w:r>
            <w:r w:rsidR="00D12D89" w:rsidRPr="0091677A">
              <w:rPr>
                <w:rFonts w:ascii="Times New Roman" w:eastAsia="宋体" w:hAnsi="Times New Roman" w:cs="Arial" w:hint="eastAsia"/>
                <w:sz w:val="22"/>
              </w:rPr>
              <w:t>风力发电</w:t>
            </w:r>
            <w:r w:rsidRPr="0091677A">
              <w:rPr>
                <w:rFonts w:ascii="Times New Roman" w:eastAsia="宋体" w:hAnsi="Times New Roman" w:cs="Arial" w:hint="eastAsia"/>
                <w:sz w:val="22"/>
              </w:rPr>
              <w:t>公司为沃旭能源公司的间接全资子公司。沃旭能源公司是一家在纳斯达克哥本哈根证券交易所上市的丹麦公司，其主营业务为开发、建设和运营海上和陆上风电场、光伏发电厂、生物能源厂和创新的废物变能源解决方案，并为客户提供智能能源产品。</w:t>
            </w:r>
          </w:p>
        </w:tc>
      </w:tr>
      <w:tr w:rsidR="00094095" w:rsidRPr="0091677A" w14:paraId="00E66482" w14:textId="77777777" w:rsidTr="001E22BB">
        <w:trPr>
          <w:trHeight w:val="279"/>
        </w:trPr>
        <w:tc>
          <w:tcPr>
            <w:tcW w:w="1670" w:type="dxa"/>
            <w:vMerge w:val="restart"/>
            <w:shd w:val="clear" w:color="auto" w:fill="D9D9D9"/>
          </w:tcPr>
          <w:p w14:paraId="4B3B46B7" w14:textId="77777777" w:rsidR="00094095" w:rsidRPr="0091677A" w:rsidRDefault="0009409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简易案件理由（</w:t>
            </w:r>
            <w:r w:rsidR="005F167B" w:rsidRPr="0091677A">
              <w:rPr>
                <w:rFonts w:ascii="Times New Roman" w:eastAsia="宋体" w:hAnsi="Times New Roman" w:cs="Arial" w:hint="eastAsia"/>
                <w:sz w:val="22"/>
              </w:rPr>
              <w:t>可以单选，也可以多选</w:t>
            </w:r>
            <w:r w:rsidRPr="0091677A">
              <w:rPr>
                <w:rFonts w:ascii="Times New Roman" w:eastAsia="宋体" w:hAnsi="Times New Roman" w:cs="Arial" w:hint="eastAsia"/>
                <w:sz w:val="22"/>
              </w:rPr>
              <w:t>）</w:t>
            </w:r>
          </w:p>
        </w:tc>
        <w:tc>
          <w:tcPr>
            <w:tcW w:w="6626" w:type="dxa"/>
            <w:gridSpan w:val="2"/>
          </w:tcPr>
          <w:p w14:paraId="3C14B166" w14:textId="77777777" w:rsidR="00094095" w:rsidRPr="0091677A" w:rsidRDefault="000A22D8"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sym w:font="Wingdings" w:char="F0A8"/>
            </w:r>
            <w:r w:rsidR="00094095" w:rsidRPr="0091677A">
              <w:rPr>
                <w:rFonts w:ascii="Times New Roman" w:eastAsia="宋体" w:hAnsi="Times New Roman" w:cs="Arial" w:hint="eastAsia"/>
                <w:sz w:val="22"/>
              </w:rPr>
              <w:t>1</w:t>
            </w:r>
            <w:r w:rsidR="00094095" w:rsidRPr="0091677A">
              <w:rPr>
                <w:rFonts w:ascii="Times New Roman" w:eastAsia="宋体" w:hAnsi="Times New Roman" w:cs="Arial" w:hint="eastAsia"/>
                <w:sz w:val="22"/>
              </w:rPr>
              <w:t>、在同一相关市场，所有参与集中的经营者所占市场份额之和小于</w:t>
            </w:r>
            <w:r w:rsidR="00094095" w:rsidRPr="0091677A">
              <w:rPr>
                <w:rFonts w:ascii="Times New Roman" w:eastAsia="宋体" w:hAnsi="Times New Roman" w:cs="Arial" w:hint="eastAsia"/>
                <w:sz w:val="22"/>
              </w:rPr>
              <w:t>15%</w:t>
            </w:r>
            <w:r w:rsidR="00094095" w:rsidRPr="0091677A">
              <w:rPr>
                <w:rFonts w:ascii="Times New Roman" w:eastAsia="宋体" w:hAnsi="Times New Roman" w:cs="Arial" w:hint="eastAsia"/>
                <w:sz w:val="22"/>
              </w:rPr>
              <w:t>。</w:t>
            </w:r>
          </w:p>
        </w:tc>
      </w:tr>
      <w:tr w:rsidR="00094095" w:rsidRPr="0091677A" w14:paraId="6287BFC1" w14:textId="77777777" w:rsidTr="001E22BB">
        <w:trPr>
          <w:trHeight w:val="330"/>
        </w:trPr>
        <w:tc>
          <w:tcPr>
            <w:tcW w:w="1670" w:type="dxa"/>
            <w:vMerge/>
            <w:shd w:val="clear" w:color="auto" w:fill="D9D9D9"/>
          </w:tcPr>
          <w:p w14:paraId="21AA8986" w14:textId="77777777" w:rsidR="00094095" w:rsidRPr="0091677A" w:rsidRDefault="00094095" w:rsidP="00AB4974">
            <w:pPr>
              <w:adjustRightInd w:val="0"/>
              <w:snapToGrid w:val="0"/>
              <w:rPr>
                <w:rFonts w:ascii="Times New Roman" w:eastAsia="宋体" w:hAnsi="Times New Roman" w:cs="Arial"/>
                <w:sz w:val="22"/>
              </w:rPr>
            </w:pPr>
          </w:p>
        </w:tc>
        <w:tc>
          <w:tcPr>
            <w:tcW w:w="6626" w:type="dxa"/>
            <w:gridSpan w:val="2"/>
          </w:tcPr>
          <w:p w14:paraId="266A994C" w14:textId="77777777" w:rsidR="00094095" w:rsidRPr="0091677A" w:rsidRDefault="000A22D8"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sym w:font="Wingdings" w:char="F0A8"/>
            </w:r>
            <w:r w:rsidR="00094095" w:rsidRPr="0091677A">
              <w:rPr>
                <w:rFonts w:ascii="Times New Roman" w:eastAsia="宋体" w:hAnsi="Times New Roman" w:cs="Arial" w:hint="eastAsia"/>
                <w:sz w:val="22"/>
              </w:rPr>
              <w:t>2</w:t>
            </w:r>
            <w:r w:rsidR="00094095" w:rsidRPr="0091677A">
              <w:rPr>
                <w:rFonts w:ascii="Times New Roman" w:eastAsia="宋体" w:hAnsi="Times New Roman" w:cs="Arial" w:hint="eastAsia"/>
                <w:sz w:val="22"/>
              </w:rPr>
              <w:t>、存在上下游关系的参与集中的经营者，在上下游市场所占的市场份额均小于</w:t>
            </w:r>
            <w:r w:rsidR="00094095" w:rsidRPr="0091677A">
              <w:rPr>
                <w:rFonts w:ascii="Times New Roman" w:eastAsia="宋体" w:hAnsi="Times New Roman" w:cs="Arial" w:hint="eastAsia"/>
                <w:sz w:val="22"/>
              </w:rPr>
              <w:t>25%</w:t>
            </w:r>
            <w:r w:rsidR="00094095" w:rsidRPr="0091677A">
              <w:rPr>
                <w:rFonts w:ascii="Times New Roman" w:eastAsia="宋体" w:hAnsi="Times New Roman" w:cs="Arial" w:hint="eastAsia"/>
                <w:sz w:val="22"/>
              </w:rPr>
              <w:t>。</w:t>
            </w:r>
          </w:p>
        </w:tc>
      </w:tr>
      <w:tr w:rsidR="00094095" w:rsidRPr="0091677A" w14:paraId="41287531" w14:textId="77777777" w:rsidTr="001E22BB">
        <w:trPr>
          <w:trHeight w:val="285"/>
        </w:trPr>
        <w:tc>
          <w:tcPr>
            <w:tcW w:w="1670" w:type="dxa"/>
            <w:vMerge/>
            <w:shd w:val="clear" w:color="auto" w:fill="D9D9D9"/>
          </w:tcPr>
          <w:p w14:paraId="0CD427B8" w14:textId="77777777" w:rsidR="00094095" w:rsidRPr="0091677A" w:rsidRDefault="00094095" w:rsidP="00AB4974">
            <w:pPr>
              <w:adjustRightInd w:val="0"/>
              <w:snapToGrid w:val="0"/>
              <w:rPr>
                <w:rFonts w:ascii="Times New Roman" w:eastAsia="宋体" w:hAnsi="Times New Roman" w:cs="Arial"/>
                <w:sz w:val="22"/>
              </w:rPr>
            </w:pPr>
          </w:p>
        </w:tc>
        <w:tc>
          <w:tcPr>
            <w:tcW w:w="6626" w:type="dxa"/>
            <w:gridSpan w:val="2"/>
          </w:tcPr>
          <w:p w14:paraId="42047C7C" w14:textId="77777777" w:rsidR="00094095" w:rsidRPr="0091677A" w:rsidRDefault="000A22D8"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sym w:font="Wingdings" w:char="F0A8"/>
            </w:r>
            <w:r w:rsidR="00094095" w:rsidRPr="0091677A">
              <w:rPr>
                <w:rFonts w:ascii="Times New Roman" w:eastAsia="宋体" w:hAnsi="Times New Roman" w:cs="Arial" w:hint="eastAsia"/>
                <w:sz w:val="22"/>
              </w:rPr>
              <w:t>3</w:t>
            </w:r>
            <w:r w:rsidR="00094095" w:rsidRPr="0091677A">
              <w:rPr>
                <w:rFonts w:ascii="Times New Roman" w:eastAsia="宋体" w:hAnsi="Times New Roman" w:cs="Arial" w:hint="eastAsia"/>
                <w:sz w:val="22"/>
              </w:rPr>
              <w:t>、不在同一相关市场、也不存在上下游关系的参与集中的经营者，在与交易有关的每个市场所占的份额均小于</w:t>
            </w:r>
            <w:r w:rsidR="00094095" w:rsidRPr="0091677A">
              <w:rPr>
                <w:rFonts w:ascii="Times New Roman" w:eastAsia="宋体" w:hAnsi="Times New Roman" w:cs="Arial" w:hint="eastAsia"/>
                <w:sz w:val="22"/>
              </w:rPr>
              <w:t>25%</w:t>
            </w:r>
            <w:r w:rsidR="00094095" w:rsidRPr="0091677A">
              <w:rPr>
                <w:rFonts w:ascii="Times New Roman" w:eastAsia="宋体" w:hAnsi="Times New Roman" w:cs="Arial" w:hint="eastAsia"/>
                <w:sz w:val="22"/>
              </w:rPr>
              <w:t>。</w:t>
            </w:r>
          </w:p>
        </w:tc>
      </w:tr>
      <w:tr w:rsidR="00094095" w:rsidRPr="0091677A" w14:paraId="2E6A2AA0" w14:textId="77777777" w:rsidTr="0091677A">
        <w:trPr>
          <w:trHeight w:val="619"/>
        </w:trPr>
        <w:tc>
          <w:tcPr>
            <w:tcW w:w="1670" w:type="dxa"/>
            <w:vMerge/>
            <w:shd w:val="clear" w:color="auto" w:fill="D9D9D9"/>
          </w:tcPr>
          <w:p w14:paraId="4824B1F7" w14:textId="77777777" w:rsidR="00094095" w:rsidRPr="0091677A" w:rsidRDefault="00094095" w:rsidP="00AB4974">
            <w:pPr>
              <w:adjustRightInd w:val="0"/>
              <w:snapToGrid w:val="0"/>
              <w:rPr>
                <w:rFonts w:ascii="Times New Roman" w:eastAsia="宋体" w:hAnsi="Times New Roman" w:cs="Arial"/>
                <w:sz w:val="22"/>
              </w:rPr>
            </w:pPr>
          </w:p>
        </w:tc>
        <w:tc>
          <w:tcPr>
            <w:tcW w:w="6626" w:type="dxa"/>
            <w:gridSpan w:val="2"/>
          </w:tcPr>
          <w:p w14:paraId="42CC306A" w14:textId="14F317A2" w:rsidR="00094095" w:rsidRPr="0091677A" w:rsidRDefault="001E22BB"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sym w:font="Wingdings" w:char="F0A8"/>
            </w:r>
            <w:r w:rsidR="00094095" w:rsidRPr="0091677A">
              <w:rPr>
                <w:rFonts w:ascii="Times New Roman" w:eastAsia="宋体" w:hAnsi="Times New Roman" w:cs="Arial" w:hint="eastAsia"/>
                <w:sz w:val="22"/>
              </w:rPr>
              <w:t>4</w:t>
            </w:r>
            <w:r w:rsidR="00094095" w:rsidRPr="0091677A">
              <w:rPr>
                <w:rFonts w:ascii="Times New Roman" w:eastAsia="宋体" w:hAnsi="Times New Roman" w:cs="Arial" w:hint="eastAsia"/>
                <w:sz w:val="22"/>
              </w:rPr>
              <w:t>、参与集中的经营者在中国境外设立合营企业，合营企业不在中国境内从事经济活动。</w:t>
            </w:r>
          </w:p>
        </w:tc>
      </w:tr>
      <w:tr w:rsidR="00094095" w:rsidRPr="0091677A" w14:paraId="1E656CAD" w14:textId="77777777" w:rsidTr="001E22BB">
        <w:trPr>
          <w:trHeight w:val="264"/>
        </w:trPr>
        <w:tc>
          <w:tcPr>
            <w:tcW w:w="1670" w:type="dxa"/>
            <w:vMerge/>
            <w:shd w:val="clear" w:color="auto" w:fill="D9D9D9"/>
          </w:tcPr>
          <w:p w14:paraId="39F206FB" w14:textId="77777777" w:rsidR="00094095" w:rsidRPr="0091677A" w:rsidRDefault="00094095" w:rsidP="00AB4974">
            <w:pPr>
              <w:adjustRightInd w:val="0"/>
              <w:snapToGrid w:val="0"/>
              <w:rPr>
                <w:rFonts w:ascii="Times New Roman" w:eastAsia="宋体" w:hAnsi="Times New Roman" w:cs="Arial"/>
                <w:sz w:val="22"/>
              </w:rPr>
            </w:pPr>
          </w:p>
        </w:tc>
        <w:tc>
          <w:tcPr>
            <w:tcW w:w="6626" w:type="dxa"/>
            <w:gridSpan w:val="2"/>
          </w:tcPr>
          <w:p w14:paraId="15029045" w14:textId="77777777" w:rsidR="00094095" w:rsidRPr="0091677A" w:rsidRDefault="000A22D8"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sym w:font="Wingdings" w:char="F0FE"/>
            </w:r>
            <w:r w:rsidR="00094095" w:rsidRPr="0091677A">
              <w:rPr>
                <w:rFonts w:ascii="Times New Roman" w:eastAsia="宋体" w:hAnsi="Times New Roman" w:cs="Arial" w:hint="eastAsia"/>
                <w:sz w:val="22"/>
              </w:rPr>
              <w:t>5</w:t>
            </w:r>
            <w:r w:rsidR="00094095" w:rsidRPr="0091677A">
              <w:rPr>
                <w:rFonts w:ascii="Times New Roman" w:eastAsia="宋体" w:hAnsi="Times New Roman" w:cs="Arial" w:hint="eastAsia"/>
                <w:sz w:val="22"/>
              </w:rPr>
              <w:t>、参与集中的经营者收购境外企业股权或资产的，该境外企业不在中国境内从事经济活动。</w:t>
            </w:r>
          </w:p>
        </w:tc>
      </w:tr>
      <w:tr w:rsidR="00094095" w:rsidRPr="0091677A" w14:paraId="5F996962" w14:textId="77777777" w:rsidTr="001E22BB">
        <w:trPr>
          <w:trHeight w:val="345"/>
        </w:trPr>
        <w:tc>
          <w:tcPr>
            <w:tcW w:w="1670" w:type="dxa"/>
            <w:vMerge/>
            <w:shd w:val="clear" w:color="auto" w:fill="D9D9D9"/>
          </w:tcPr>
          <w:p w14:paraId="3406F8DF" w14:textId="77777777" w:rsidR="00094095" w:rsidRPr="0091677A" w:rsidRDefault="00094095" w:rsidP="00AB4974">
            <w:pPr>
              <w:adjustRightInd w:val="0"/>
              <w:snapToGrid w:val="0"/>
              <w:rPr>
                <w:rFonts w:ascii="Times New Roman" w:eastAsia="宋体" w:hAnsi="Times New Roman" w:cs="Arial"/>
                <w:sz w:val="22"/>
              </w:rPr>
            </w:pPr>
          </w:p>
        </w:tc>
        <w:tc>
          <w:tcPr>
            <w:tcW w:w="6626" w:type="dxa"/>
            <w:gridSpan w:val="2"/>
          </w:tcPr>
          <w:p w14:paraId="0A865C8E" w14:textId="77777777" w:rsidR="00094095" w:rsidRPr="0091677A" w:rsidRDefault="000A22D8"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sym w:font="Wingdings" w:char="F0A8"/>
            </w:r>
            <w:r w:rsidR="00094095" w:rsidRPr="0091677A">
              <w:rPr>
                <w:rFonts w:ascii="Times New Roman" w:eastAsia="宋体" w:hAnsi="Times New Roman" w:cs="Arial" w:hint="eastAsia"/>
                <w:sz w:val="22"/>
              </w:rPr>
              <w:t>6</w:t>
            </w:r>
            <w:r w:rsidR="00094095" w:rsidRPr="0091677A">
              <w:rPr>
                <w:rFonts w:ascii="Times New Roman" w:eastAsia="宋体" w:hAnsi="Times New Roman" w:cs="Arial" w:hint="eastAsia"/>
                <w:sz w:val="22"/>
              </w:rPr>
              <w:t>、由两个以上的经营者共同控制的合营企业，通过集中被其中一个或一个以上经营者控制。</w:t>
            </w:r>
          </w:p>
        </w:tc>
      </w:tr>
      <w:tr w:rsidR="00094095" w:rsidRPr="0091677A" w14:paraId="251E7533" w14:textId="77777777" w:rsidTr="001E22BB">
        <w:tc>
          <w:tcPr>
            <w:tcW w:w="1670" w:type="dxa"/>
            <w:shd w:val="clear" w:color="auto" w:fill="D9D9D9"/>
          </w:tcPr>
          <w:p w14:paraId="1B6CBE7A" w14:textId="77777777" w:rsidR="00094095" w:rsidRPr="0091677A" w:rsidRDefault="00094095"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备注</w:t>
            </w:r>
          </w:p>
        </w:tc>
        <w:tc>
          <w:tcPr>
            <w:tcW w:w="6626" w:type="dxa"/>
            <w:gridSpan w:val="2"/>
          </w:tcPr>
          <w:p w14:paraId="35D41B0C" w14:textId="71DCE3F8" w:rsidR="00094095" w:rsidRPr="0091677A" w:rsidRDefault="001E22BB" w:rsidP="00AB4974">
            <w:pPr>
              <w:adjustRightInd w:val="0"/>
              <w:snapToGrid w:val="0"/>
              <w:rPr>
                <w:rFonts w:ascii="Times New Roman" w:eastAsia="宋体" w:hAnsi="Times New Roman" w:cs="Arial"/>
                <w:sz w:val="22"/>
              </w:rPr>
            </w:pPr>
            <w:r w:rsidRPr="0091677A">
              <w:rPr>
                <w:rFonts w:ascii="Times New Roman" w:eastAsia="宋体" w:hAnsi="Times New Roman" w:cs="Arial" w:hint="eastAsia"/>
                <w:sz w:val="22"/>
              </w:rPr>
              <w:t>不适用</w:t>
            </w:r>
          </w:p>
        </w:tc>
      </w:tr>
    </w:tbl>
    <w:p w14:paraId="37398256" w14:textId="42229A67" w:rsidR="00F87C1F" w:rsidRPr="0091677A" w:rsidRDefault="00F87C1F" w:rsidP="0091677A">
      <w:pPr>
        <w:spacing w:line="360" w:lineRule="auto"/>
        <w:rPr>
          <w:rFonts w:ascii="Arial" w:eastAsiaTheme="majorEastAsia" w:hAnsi="Arial" w:cs="Arial"/>
          <w:sz w:val="22"/>
        </w:rPr>
      </w:pPr>
    </w:p>
    <w:sectPr w:rsidR="00F87C1F" w:rsidRPr="0091677A" w:rsidSect="00ED2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70BD" w14:textId="77777777" w:rsidR="00C5107B" w:rsidRDefault="00C5107B" w:rsidP="00094095">
      <w:r>
        <w:separator/>
      </w:r>
    </w:p>
  </w:endnote>
  <w:endnote w:type="continuationSeparator" w:id="0">
    <w:p w14:paraId="574ECE1C" w14:textId="77777777" w:rsidR="00C5107B" w:rsidRDefault="00C5107B" w:rsidP="0009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C7DE" w14:textId="77777777" w:rsidR="00C5107B" w:rsidRDefault="00C5107B" w:rsidP="00094095">
      <w:r>
        <w:separator/>
      </w:r>
    </w:p>
  </w:footnote>
  <w:footnote w:type="continuationSeparator" w:id="0">
    <w:p w14:paraId="3676CC1E" w14:textId="77777777" w:rsidR="00C5107B" w:rsidRDefault="00C5107B" w:rsidP="0009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3F68"/>
    <w:multiLevelType w:val="hybridMultilevel"/>
    <w:tmpl w:val="75EAF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DQyMzMyNzc0tzBW0lEKTi0uzszPAykwrAUAAsEhcSwAAAA="/>
  </w:docVars>
  <w:rsids>
    <w:rsidRoot w:val="00094095"/>
    <w:rsid w:val="000011C6"/>
    <w:rsid w:val="00051B00"/>
    <w:rsid w:val="000705EF"/>
    <w:rsid w:val="00094095"/>
    <w:rsid w:val="000A22D8"/>
    <w:rsid w:val="000A245B"/>
    <w:rsid w:val="000E0B36"/>
    <w:rsid w:val="000F336E"/>
    <w:rsid w:val="00170A31"/>
    <w:rsid w:val="001E22BB"/>
    <w:rsid w:val="00231C6E"/>
    <w:rsid w:val="002412F1"/>
    <w:rsid w:val="00245776"/>
    <w:rsid w:val="00290F7C"/>
    <w:rsid w:val="00294006"/>
    <w:rsid w:val="0029549A"/>
    <w:rsid w:val="002A3524"/>
    <w:rsid w:val="002F2D60"/>
    <w:rsid w:val="0030499D"/>
    <w:rsid w:val="00307976"/>
    <w:rsid w:val="00330427"/>
    <w:rsid w:val="00395CBD"/>
    <w:rsid w:val="003D3766"/>
    <w:rsid w:val="004076EE"/>
    <w:rsid w:val="00462174"/>
    <w:rsid w:val="0049374F"/>
    <w:rsid w:val="004B4F03"/>
    <w:rsid w:val="004F0E48"/>
    <w:rsid w:val="0053774D"/>
    <w:rsid w:val="0055793B"/>
    <w:rsid w:val="005876DB"/>
    <w:rsid w:val="005F167B"/>
    <w:rsid w:val="007F0C32"/>
    <w:rsid w:val="00861481"/>
    <w:rsid w:val="008E2701"/>
    <w:rsid w:val="008F2A34"/>
    <w:rsid w:val="0091677A"/>
    <w:rsid w:val="00931DCB"/>
    <w:rsid w:val="00A72158"/>
    <w:rsid w:val="00AA0218"/>
    <w:rsid w:val="00AA3396"/>
    <w:rsid w:val="00AB4974"/>
    <w:rsid w:val="00AB6C08"/>
    <w:rsid w:val="00AC2A41"/>
    <w:rsid w:val="00AC4529"/>
    <w:rsid w:val="00AF5659"/>
    <w:rsid w:val="00B35F88"/>
    <w:rsid w:val="00B561C6"/>
    <w:rsid w:val="00B955F5"/>
    <w:rsid w:val="00BA0750"/>
    <w:rsid w:val="00BB2377"/>
    <w:rsid w:val="00C03255"/>
    <w:rsid w:val="00C5107B"/>
    <w:rsid w:val="00C63375"/>
    <w:rsid w:val="00C8523F"/>
    <w:rsid w:val="00C9068E"/>
    <w:rsid w:val="00CC0155"/>
    <w:rsid w:val="00CC62E2"/>
    <w:rsid w:val="00CE5EC4"/>
    <w:rsid w:val="00D12D89"/>
    <w:rsid w:val="00D21777"/>
    <w:rsid w:val="00D2324F"/>
    <w:rsid w:val="00D50AB5"/>
    <w:rsid w:val="00D62E3F"/>
    <w:rsid w:val="00DC254B"/>
    <w:rsid w:val="00DD1E3F"/>
    <w:rsid w:val="00DE29E8"/>
    <w:rsid w:val="00E36B53"/>
    <w:rsid w:val="00E677B7"/>
    <w:rsid w:val="00E9142E"/>
    <w:rsid w:val="00ED21B1"/>
    <w:rsid w:val="00F56B99"/>
    <w:rsid w:val="00F573B1"/>
    <w:rsid w:val="00F87C1F"/>
    <w:rsid w:val="00FB0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DF3F50"/>
  <w15:docId w15:val="{FF0503AE-D40C-4BC1-91DF-AE135A2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95"/>
    <w:pPr>
      <w:widowControl w:val="0"/>
      <w:jc w:val="both"/>
    </w:pPr>
    <w:rPr>
      <w:kern w:val="2"/>
      <w:sz w:val="21"/>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94095"/>
    <w:pPr>
      <w:snapToGrid w:val="0"/>
      <w:jc w:val="left"/>
    </w:pPr>
  </w:style>
  <w:style w:type="character" w:customStyle="1" w:styleId="EndnoteTextChar">
    <w:name w:val="Endnote Text Char"/>
    <w:basedOn w:val="DefaultParagraphFont"/>
    <w:link w:val="EndnoteText"/>
    <w:uiPriority w:val="99"/>
    <w:semiHidden/>
    <w:rsid w:val="00094095"/>
  </w:style>
  <w:style w:type="character" w:styleId="EndnoteReference">
    <w:name w:val="endnote reference"/>
    <w:uiPriority w:val="99"/>
    <w:semiHidden/>
    <w:unhideWhenUsed/>
    <w:rsid w:val="00094095"/>
    <w:rPr>
      <w:vertAlign w:val="superscript"/>
    </w:rPr>
  </w:style>
  <w:style w:type="paragraph" w:styleId="Header">
    <w:name w:val="header"/>
    <w:basedOn w:val="Normal"/>
    <w:link w:val="HeaderChar"/>
    <w:uiPriority w:val="99"/>
    <w:unhideWhenUsed/>
    <w:rsid w:val="00D217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D21777"/>
    <w:rPr>
      <w:sz w:val="18"/>
      <w:szCs w:val="18"/>
    </w:rPr>
  </w:style>
  <w:style w:type="paragraph" w:styleId="Footer">
    <w:name w:val="footer"/>
    <w:basedOn w:val="Normal"/>
    <w:link w:val="FooterChar"/>
    <w:uiPriority w:val="99"/>
    <w:unhideWhenUsed/>
    <w:rsid w:val="00D21777"/>
    <w:pPr>
      <w:tabs>
        <w:tab w:val="center" w:pos="4153"/>
        <w:tab w:val="right" w:pos="8306"/>
      </w:tabs>
      <w:snapToGrid w:val="0"/>
      <w:jc w:val="left"/>
    </w:pPr>
    <w:rPr>
      <w:sz w:val="18"/>
      <w:szCs w:val="18"/>
    </w:rPr>
  </w:style>
  <w:style w:type="character" w:customStyle="1" w:styleId="FooterChar">
    <w:name w:val="Footer Char"/>
    <w:link w:val="Footer"/>
    <w:uiPriority w:val="99"/>
    <w:rsid w:val="00D21777"/>
    <w:rPr>
      <w:sz w:val="18"/>
      <w:szCs w:val="18"/>
    </w:rPr>
  </w:style>
  <w:style w:type="character" w:styleId="Hyperlink">
    <w:name w:val="Hyperlink"/>
    <w:basedOn w:val="DefaultParagraphFont"/>
    <w:uiPriority w:val="99"/>
    <w:unhideWhenUsed/>
    <w:rsid w:val="00DD1E3F"/>
    <w:rPr>
      <w:color w:val="0000FF" w:themeColor="hyperlink"/>
      <w:u w:val="single"/>
    </w:rPr>
  </w:style>
  <w:style w:type="character" w:styleId="UnresolvedMention">
    <w:name w:val="Unresolved Mention"/>
    <w:basedOn w:val="DefaultParagraphFont"/>
    <w:uiPriority w:val="99"/>
    <w:semiHidden/>
    <w:unhideWhenUsed/>
    <w:rsid w:val="00DD1E3F"/>
    <w:rPr>
      <w:color w:val="605E5C"/>
      <w:shd w:val="clear" w:color="auto" w:fill="E1DFDD"/>
    </w:rPr>
  </w:style>
  <w:style w:type="character" w:styleId="FollowedHyperlink">
    <w:name w:val="FollowedHyperlink"/>
    <w:basedOn w:val="DefaultParagraphFont"/>
    <w:uiPriority w:val="99"/>
    <w:semiHidden/>
    <w:unhideWhenUsed/>
    <w:rsid w:val="001E2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9501-41F9-4696-A8AF-F9E88C2D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DaHui Lawyers</cp:lastModifiedBy>
  <cp:revision>15</cp:revision>
  <cp:lastPrinted>2014-10-08T02:48:00Z</cp:lastPrinted>
  <dcterms:created xsi:type="dcterms:W3CDTF">2022-03-24T09:28:00Z</dcterms:created>
  <dcterms:modified xsi:type="dcterms:W3CDTF">2022-04-11T14:48:00Z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A37226718</vt:lpwstr>
  </property>
  <property fmtid="{D5CDD505-2E9C-101B-9397-08002B2CF9AE}" pid="3" name="Version">
    <vt:lpwstr>2.0</vt:lpwstr>
  </property>
  <property fmtid="{D5CDD505-2E9C-101B-9397-08002B2CF9AE}" pid="4" name="Last Modified">
    <vt:lpwstr>07 Sep 2018</vt:lpwstr>
  </property>
  <property fmtid="{D5CDD505-2E9C-101B-9397-08002B2CF9AE}" pid="5" name="Matter Number">
    <vt:lpwstr>L-273286</vt:lpwstr>
  </property>
  <property fmtid="{D5CDD505-2E9C-101B-9397-08002B2CF9AE}" pid="6" name="Client Code">
    <vt:lpwstr>10303138</vt:lpwstr>
  </property>
  <property fmtid="{D5CDD505-2E9C-101B-9397-08002B2CF9AE}" pid="7" name="Mode">
    <vt:lpwstr>SendAs</vt:lpwstr>
  </property>
  <property fmtid="{D5CDD505-2E9C-101B-9397-08002B2CF9AE}" pid="8" name="DEDocumentLocation">
    <vt:lpwstr>C:\Users\qzheng\AppData\Local\Linklaters\DocExplorer\Attachments\A37226718 v2.0 FINAL- Simple Case Publicity Form_CHN.docx</vt:lpwstr>
  </property>
  <property fmtid="{D5CDD505-2E9C-101B-9397-08002B2CF9AE}" pid="9" name="ObjectID">
    <vt:lpwstr>09001dc8922c7eb6</vt:lpwstr>
  </property>
  <property fmtid="{D5CDD505-2E9C-101B-9397-08002B2CF9AE}" pid="10" name="_MarkAsFinal">
    <vt:bool>false</vt:bool>
  </property>
  <property fmtid="{D5CDD505-2E9C-101B-9397-08002B2CF9AE}" pid="11" name="CCDocID">
    <vt:lpwstr>10229273260-v1</vt:lpwstr>
  </property>
  <property fmtid="{D5CDD505-2E9C-101B-9397-08002B2CF9AE}" pid="12" name="CCMatter">
    <vt:lpwstr>70-41026959</vt:lpwstr>
  </property>
</Properties>
</file>