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经营者集中简易案件公示表</w:t>
      </w:r>
    </w:p>
    <w:p>
      <w:pPr>
        <w:spacing w:line="440" w:lineRule="exact"/>
        <w:ind w:firstLine="845" w:firstLineChars="302"/>
        <w:rPr>
          <w:rFonts w:ascii="Times New Roman" w:hAnsi="Times New Roman" w:eastAsia="仿宋_GB2312"/>
          <w:sz w:val="28"/>
          <w:szCs w:val="28"/>
        </w:rPr>
      </w:pP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坦克智行（重庆）科技有限公司（</w:t>
            </w: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  <w:t>“坦克智行”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）与抚顺千乘汽车销售有限公司（</w:t>
            </w: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  <w:t>“抚顺千乘”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）新设合营企业案（</w:t>
            </w: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</w:rPr>
              <w:t>“本次交易”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交易概况</w:t>
            </w: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本次交易涉及坦克智行和抚顺千乘共同出资新设合营企业，在辽宁省沈阳市开展坦克体验中心、4S店等店面建设、运用管理等事宜。本次交易完成后，坦克智行和抚顺千乘根据其在注册资本的占比行使股权，二者分别持有合营企业注册资本的67.04%和32.96%，并取得合营企业的共同控制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参与集中的</w:t>
            </w:r>
          </w:p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1、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坦克智行</w:t>
            </w:r>
          </w:p>
        </w:tc>
        <w:tc>
          <w:tcPr>
            <w:tcW w:w="5153" w:type="dxa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坦克智行成立于2021年，注册地为重庆市永川区，主要从事小微型客车租赁经营服务、餐饮服务、汽车新车销售（主要是坦克品牌销售）；金属制品销售；机械设备销售等业务。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抚顺千乘</w:t>
            </w:r>
          </w:p>
        </w:tc>
        <w:tc>
          <w:tcPr>
            <w:tcW w:w="5153" w:type="dxa"/>
          </w:tcPr>
          <w:p>
            <w:pPr>
              <w:spacing w:before="156" w:beforeLines="50" w:after="156" w:afterLines="50"/>
              <w:jc w:val="left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抚顺千乘成立于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21年，注册地为辽宁省抚顺市。抚顺千乘主要从事汽车新车销售、二手车经销、机械设备销售、汽车零配件零售、五金产品零售、机动车修理和维护、信息技术咨询服务以及电池销售等业务。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before="156" w:beforeLines="50" w:after="156" w:afterLines="5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  <w:u w:val="single"/>
              </w:rPr>
              <w:t>横向重叠市场及市场份额：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12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沈阳市中高端品牌乘用车4S店销售市场：抚顺千乘[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0-5]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%；合营企业[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0-5]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%；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交易方合计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[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0-5]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仿宋_GB2312"/>
                <w:b/>
                <w:color w:val="333333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/>
                <w:b/>
                <w:color w:val="333333"/>
                <w:kern w:val="0"/>
                <w:sz w:val="24"/>
                <w:szCs w:val="24"/>
                <w:u w:val="single"/>
              </w:rPr>
              <w:t>纵向市场及市场份额：</w:t>
            </w:r>
          </w:p>
          <w:p>
            <w:pPr>
              <w:pStyle w:val="12"/>
              <w:numPr>
                <w:ilvl w:val="0"/>
                <w:numId w:val="1"/>
              </w:numPr>
              <w:spacing w:before="156" w:beforeLines="50" w:after="156" w:afterLines="50"/>
              <w:ind w:firstLineChars="0"/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中国境内中高端SUV生产与供应市场：坦克智行[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0-5]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ascii="Times New Roman" w:hAnsi="Times New Roman" w:eastAsia="仿宋_GB2312"/>
                <w:color w:val="333333"/>
                <w:kern w:val="0"/>
                <w:sz w:val="24"/>
                <w:szCs w:val="24"/>
              </w:rPr>
              <w:t>。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仿宋_GB2312"/>
          <w:sz w:val="24"/>
          <w:szCs w:val="24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3938750"/>
      <w:docPartObj>
        <w:docPartGallery w:val="AutoText"/>
      </w:docPartObj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02FBC"/>
    <w:multiLevelType w:val="multilevel"/>
    <w:tmpl w:val="6B002FBC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11483"/>
    <w:rsid w:val="00014FC1"/>
    <w:rsid w:val="0002108D"/>
    <w:rsid w:val="00037065"/>
    <w:rsid w:val="00037116"/>
    <w:rsid w:val="00055339"/>
    <w:rsid w:val="000603B0"/>
    <w:rsid w:val="0006636C"/>
    <w:rsid w:val="000707A2"/>
    <w:rsid w:val="000801B0"/>
    <w:rsid w:val="00082C06"/>
    <w:rsid w:val="00083EBD"/>
    <w:rsid w:val="00084E2D"/>
    <w:rsid w:val="000879A7"/>
    <w:rsid w:val="00091700"/>
    <w:rsid w:val="0009214D"/>
    <w:rsid w:val="0009414B"/>
    <w:rsid w:val="00096C95"/>
    <w:rsid w:val="00097D26"/>
    <w:rsid w:val="000B0A90"/>
    <w:rsid w:val="000C0BD7"/>
    <w:rsid w:val="000C1B7C"/>
    <w:rsid w:val="000D7EBA"/>
    <w:rsid w:val="000E1DFE"/>
    <w:rsid w:val="000E2AD3"/>
    <w:rsid w:val="001119D0"/>
    <w:rsid w:val="0011223F"/>
    <w:rsid w:val="001156ED"/>
    <w:rsid w:val="001164CD"/>
    <w:rsid w:val="001273DC"/>
    <w:rsid w:val="00134786"/>
    <w:rsid w:val="001430C8"/>
    <w:rsid w:val="001468D4"/>
    <w:rsid w:val="0015275C"/>
    <w:rsid w:val="00154B65"/>
    <w:rsid w:val="00155592"/>
    <w:rsid w:val="00155717"/>
    <w:rsid w:val="0016782B"/>
    <w:rsid w:val="001721E9"/>
    <w:rsid w:val="00176997"/>
    <w:rsid w:val="00177C1C"/>
    <w:rsid w:val="001837A3"/>
    <w:rsid w:val="00191A60"/>
    <w:rsid w:val="001A1C2B"/>
    <w:rsid w:val="001B5002"/>
    <w:rsid w:val="001D7A5A"/>
    <w:rsid w:val="001E554B"/>
    <w:rsid w:val="002047CB"/>
    <w:rsid w:val="00210BC3"/>
    <w:rsid w:val="0021619C"/>
    <w:rsid w:val="00221A8D"/>
    <w:rsid w:val="00225248"/>
    <w:rsid w:val="00227844"/>
    <w:rsid w:val="002278C7"/>
    <w:rsid w:val="00231D28"/>
    <w:rsid w:val="00235F0F"/>
    <w:rsid w:val="00247FF8"/>
    <w:rsid w:val="00251171"/>
    <w:rsid w:val="002556AE"/>
    <w:rsid w:val="002708DA"/>
    <w:rsid w:val="00275A14"/>
    <w:rsid w:val="002A1585"/>
    <w:rsid w:val="002B581F"/>
    <w:rsid w:val="002D7FA6"/>
    <w:rsid w:val="002F5F95"/>
    <w:rsid w:val="002F72A4"/>
    <w:rsid w:val="00306C8A"/>
    <w:rsid w:val="00322FB7"/>
    <w:rsid w:val="00356375"/>
    <w:rsid w:val="003577BC"/>
    <w:rsid w:val="003643AC"/>
    <w:rsid w:val="00371B80"/>
    <w:rsid w:val="00387C7B"/>
    <w:rsid w:val="0039444E"/>
    <w:rsid w:val="003A29D0"/>
    <w:rsid w:val="003A61DC"/>
    <w:rsid w:val="003B23BB"/>
    <w:rsid w:val="003C0AEB"/>
    <w:rsid w:val="003D2B29"/>
    <w:rsid w:val="003E5DBC"/>
    <w:rsid w:val="003F04C7"/>
    <w:rsid w:val="003F0C5E"/>
    <w:rsid w:val="003F7EAE"/>
    <w:rsid w:val="0040386D"/>
    <w:rsid w:val="004061E7"/>
    <w:rsid w:val="004137CA"/>
    <w:rsid w:val="00415A67"/>
    <w:rsid w:val="004217BF"/>
    <w:rsid w:val="004343E6"/>
    <w:rsid w:val="0044374A"/>
    <w:rsid w:val="004511CD"/>
    <w:rsid w:val="004521DD"/>
    <w:rsid w:val="00452907"/>
    <w:rsid w:val="00453DB6"/>
    <w:rsid w:val="00456422"/>
    <w:rsid w:val="00485FBE"/>
    <w:rsid w:val="00491924"/>
    <w:rsid w:val="00494D43"/>
    <w:rsid w:val="004A45D9"/>
    <w:rsid w:val="004A528C"/>
    <w:rsid w:val="004A5C17"/>
    <w:rsid w:val="004B7B92"/>
    <w:rsid w:val="004D050A"/>
    <w:rsid w:val="004E2E18"/>
    <w:rsid w:val="004E53BB"/>
    <w:rsid w:val="004F7688"/>
    <w:rsid w:val="00503F87"/>
    <w:rsid w:val="005212F4"/>
    <w:rsid w:val="00521C5C"/>
    <w:rsid w:val="005227A5"/>
    <w:rsid w:val="00527025"/>
    <w:rsid w:val="005312C9"/>
    <w:rsid w:val="00547054"/>
    <w:rsid w:val="005659D8"/>
    <w:rsid w:val="005767AA"/>
    <w:rsid w:val="005831F4"/>
    <w:rsid w:val="00583B3A"/>
    <w:rsid w:val="0059310C"/>
    <w:rsid w:val="005A29AF"/>
    <w:rsid w:val="005B3AC8"/>
    <w:rsid w:val="005D454D"/>
    <w:rsid w:val="005E25E2"/>
    <w:rsid w:val="005F72C8"/>
    <w:rsid w:val="00605F9D"/>
    <w:rsid w:val="00607776"/>
    <w:rsid w:val="00612590"/>
    <w:rsid w:val="00616274"/>
    <w:rsid w:val="00623031"/>
    <w:rsid w:val="00635B25"/>
    <w:rsid w:val="006467D8"/>
    <w:rsid w:val="00646EC3"/>
    <w:rsid w:val="00661757"/>
    <w:rsid w:val="00673BCC"/>
    <w:rsid w:val="006A2CF8"/>
    <w:rsid w:val="006A531B"/>
    <w:rsid w:val="006C246E"/>
    <w:rsid w:val="006C2973"/>
    <w:rsid w:val="006C4E8E"/>
    <w:rsid w:val="006D0D0E"/>
    <w:rsid w:val="006D37CE"/>
    <w:rsid w:val="006D6C9A"/>
    <w:rsid w:val="006D6D97"/>
    <w:rsid w:val="006F1F28"/>
    <w:rsid w:val="006F219A"/>
    <w:rsid w:val="006F4FC3"/>
    <w:rsid w:val="006F7693"/>
    <w:rsid w:val="0070182C"/>
    <w:rsid w:val="00710140"/>
    <w:rsid w:val="00737CA5"/>
    <w:rsid w:val="00756FE2"/>
    <w:rsid w:val="00774C58"/>
    <w:rsid w:val="0078013A"/>
    <w:rsid w:val="00782199"/>
    <w:rsid w:val="007916B1"/>
    <w:rsid w:val="00791B46"/>
    <w:rsid w:val="00792B9B"/>
    <w:rsid w:val="00794BC3"/>
    <w:rsid w:val="00795614"/>
    <w:rsid w:val="007A7644"/>
    <w:rsid w:val="007C5234"/>
    <w:rsid w:val="007C5431"/>
    <w:rsid w:val="007D4D78"/>
    <w:rsid w:val="007F2275"/>
    <w:rsid w:val="0081725F"/>
    <w:rsid w:val="0082056A"/>
    <w:rsid w:val="00831DFB"/>
    <w:rsid w:val="00842A25"/>
    <w:rsid w:val="00863B9B"/>
    <w:rsid w:val="008664EF"/>
    <w:rsid w:val="0086698D"/>
    <w:rsid w:val="008845B4"/>
    <w:rsid w:val="00893A7F"/>
    <w:rsid w:val="00893FA1"/>
    <w:rsid w:val="00897A6F"/>
    <w:rsid w:val="008A04B8"/>
    <w:rsid w:val="008A54F1"/>
    <w:rsid w:val="008A59CF"/>
    <w:rsid w:val="008B7D2E"/>
    <w:rsid w:val="008C7F17"/>
    <w:rsid w:val="008E4137"/>
    <w:rsid w:val="008E498A"/>
    <w:rsid w:val="008F1743"/>
    <w:rsid w:val="00904270"/>
    <w:rsid w:val="00915F0F"/>
    <w:rsid w:val="009373A6"/>
    <w:rsid w:val="009458CE"/>
    <w:rsid w:val="00946296"/>
    <w:rsid w:val="009532DF"/>
    <w:rsid w:val="0096305B"/>
    <w:rsid w:val="00965990"/>
    <w:rsid w:val="00976449"/>
    <w:rsid w:val="00991705"/>
    <w:rsid w:val="00997019"/>
    <w:rsid w:val="009A2227"/>
    <w:rsid w:val="009A4835"/>
    <w:rsid w:val="009A5029"/>
    <w:rsid w:val="009C1A53"/>
    <w:rsid w:val="009C217A"/>
    <w:rsid w:val="009D38D5"/>
    <w:rsid w:val="009E156A"/>
    <w:rsid w:val="009E2F01"/>
    <w:rsid w:val="009E3FAE"/>
    <w:rsid w:val="009E5671"/>
    <w:rsid w:val="009E6EF6"/>
    <w:rsid w:val="009F1034"/>
    <w:rsid w:val="00A05F36"/>
    <w:rsid w:val="00A06D87"/>
    <w:rsid w:val="00A101F6"/>
    <w:rsid w:val="00A11E63"/>
    <w:rsid w:val="00A34D44"/>
    <w:rsid w:val="00A41D03"/>
    <w:rsid w:val="00A47BF5"/>
    <w:rsid w:val="00A53F26"/>
    <w:rsid w:val="00A63674"/>
    <w:rsid w:val="00A64B02"/>
    <w:rsid w:val="00A740A0"/>
    <w:rsid w:val="00A76B8B"/>
    <w:rsid w:val="00A82002"/>
    <w:rsid w:val="00A848DE"/>
    <w:rsid w:val="00A87B0D"/>
    <w:rsid w:val="00AA00C2"/>
    <w:rsid w:val="00AA0CC5"/>
    <w:rsid w:val="00AA2BEF"/>
    <w:rsid w:val="00AB3220"/>
    <w:rsid w:val="00AC43AC"/>
    <w:rsid w:val="00AC5371"/>
    <w:rsid w:val="00AD2362"/>
    <w:rsid w:val="00AF32F5"/>
    <w:rsid w:val="00B16AFE"/>
    <w:rsid w:val="00B248FC"/>
    <w:rsid w:val="00B3353C"/>
    <w:rsid w:val="00B34B9F"/>
    <w:rsid w:val="00B65DD5"/>
    <w:rsid w:val="00B70E71"/>
    <w:rsid w:val="00B77C58"/>
    <w:rsid w:val="00B81805"/>
    <w:rsid w:val="00B91486"/>
    <w:rsid w:val="00BA232F"/>
    <w:rsid w:val="00BB208B"/>
    <w:rsid w:val="00BB7423"/>
    <w:rsid w:val="00BC0276"/>
    <w:rsid w:val="00BC30F5"/>
    <w:rsid w:val="00BC3F89"/>
    <w:rsid w:val="00BD0995"/>
    <w:rsid w:val="00BD0D99"/>
    <w:rsid w:val="00BD10B6"/>
    <w:rsid w:val="00BD712F"/>
    <w:rsid w:val="00BF696F"/>
    <w:rsid w:val="00C06588"/>
    <w:rsid w:val="00C07076"/>
    <w:rsid w:val="00C07385"/>
    <w:rsid w:val="00C2085D"/>
    <w:rsid w:val="00C2390B"/>
    <w:rsid w:val="00C32415"/>
    <w:rsid w:val="00C35EDD"/>
    <w:rsid w:val="00C622D2"/>
    <w:rsid w:val="00C625D6"/>
    <w:rsid w:val="00C65F98"/>
    <w:rsid w:val="00C80E94"/>
    <w:rsid w:val="00C83A68"/>
    <w:rsid w:val="00C84515"/>
    <w:rsid w:val="00C863D1"/>
    <w:rsid w:val="00C93EE3"/>
    <w:rsid w:val="00CB00DF"/>
    <w:rsid w:val="00CB287C"/>
    <w:rsid w:val="00CC6B5F"/>
    <w:rsid w:val="00CD5AD2"/>
    <w:rsid w:val="00CD6C9E"/>
    <w:rsid w:val="00CD7B78"/>
    <w:rsid w:val="00D02B09"/>
    <w:rsid w:val="00D14B09"/>
    <w:rsid w:val="00D4291D"/>
    <w:rsid w:val="00D5388E"/>
    <w:rsid w:val="00D61668"/>
    <w:rsid w:val="00D64A2A"/>
    <w:rsid w:val="00D73C72"/>
    <w:rsid w:val="00D9341F"/>
    <w:rsid w:val="00DA4265"/>
    <w:rsid w:val="00DA609F"/>
    <w:rsid w:val="00DE0A77"/>
    <w:rsid w:val="00DF0A95"/>
    <w:rsid w:val="00E0592B"/>
    <w:rsid w:val="00E06CD0"/>
    <w:rsid w:val="00E11B10"/>
    <w:rsid w:val="00E12046"/>
    <w:rsid w:val="00E15B1A"/>
    <w:rsid w:val="00E23275"/>
    <w:rsid w:val="00E27EC9"/>
    <w:rsid w:val="00E31738"/>
    <w:rsid w:val="00E40266"/>
    <w:rsid w:val="00E55634"/>
    <w:rsid w:val="00E56E02"/>
    <w:rsid w:val="00E72902"/>
    <w:rsid w:val="00E832A2"/>
    <w:rsid w:val="00E86786"/>
    <w:rsid w:val="00EA045B"/>
    <w:rsid w:val="00EA66FB"/>
    <w:rsid w:val="00EB61AD"/>
    <w:rsid w:val="00EC7441"/>
    <w:rsid w:val="00ED2F80"/>
    <w:rsid w:val="00ED5563"/>
    <w:rsid w:val="00ED60DF"/>
    <w:rsid w:val="00EE39F3"/>
    <w:rsid w:val="00EE7453"/>
    <w:rsid w:val="00EE7A40"/>
    <w:rsid w:val="00EF42DD"/>
    <w:rsid w:val="00F10E7C"/>
    <w:rsid w:val="00F134AC"/>
    <w:rsid w:val="00F1624E"/>
    <w:rsid w:val="00F17359"/>
    <w:rsid w:val="00F32F8A"/>
    <w:rsid w:val="00F331B0"/>
    <w:rsid w:val="00F40985"/>
    <w:rsid w:val="00F564AF"/>
    <w:rsid w:val="00F65830"/>
    <w:rsid w:val="00F70290"/>
    <w:rsid w:val="00F73BCF"/>
    <w:rsid w:val="00F75467"/>
    <w:rsid w:val="00F7794A"/>
    <w:rsid w:val="00F810AA"/>
    <w:rsid w:val="00F91A2E"/>
    <w:rsid w:val="00F92424"/>
    <w:rsid w:val="00F94E15"/>
    <w:rsid w:val="00F97BEA"/>
    <w:rsid w:val="00FB43EC"/>
    <w:rsid w:val="00FB6B40"/>
    <w:rsid w:val="00FF6285"/>
    <w:rsid w:val="00FF7CF6"/>
    <w:rsid w:val="1B374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1077</Characters>
  <Lines>8</Lines>
  <Paragraphs>2</Paragraphs>
  <TotalTime>31</TotalTime>
  <ScaleCrop>false</ScaleCrop>
  <LinksUpToDate>false</LinksUpToDate>
  <CharactersWithSpaces>1263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2021-11-04T10:50:00Z</dcterms:created>
  <dc:creator>陈媚</dc:creator>
  <cp:lastModifiedBy>常亮</cp:lastModifiedBy>
  <cp:lastPrinted>2019-01-29T01:56:00Z</cp:lastPrinted>
  <dcterms:modified xsi:type="dcterms:W3CDTF">2022-04-08T01:09:20Z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