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bCs/>
          <w:sz w:val="24"/>
          <w:szCs w:val="24"/>
        </w:rPr>
      </w:pPr>
      <w:r>
        <w:rPr>
          <w:rFonts w:hint="eastAsia" w:ascii="宋体" w:hAnsi="宋体"/>
          <w:b/>
          <w:bCs/>
          <w:sz w:val="24"/>
          <w:szCs w:val="24"/>
        </w:rPr>
        <w:t>经营者集中简易案件公示表</w:t>
      </w:r>
    </w:p>
    <w:p>
      <w:pPr>
        <w:spacing w:line="440" w:lineRule="exact"/>
        <w:ind w:firstLine="634" w:firstLineChars="302"/>
        <w:rPr>
          <w:rFonts w:ascii="宋体" w:hAnsi="宋体"/>
          <w:szCs w:val="21"/>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418"/>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Cs w:val="21"/>
              </w:rPr>
            </w:pPr>
            <w:r>
              <w:rPr>
                <w:rFonts w:hint="eastAsia" w:ascii="宋体" w:hAnsi="宋体" w:cs="宋体"/>
                <w:color w:val="333333"/>
                <w:kern w:val="0"/>
                <w:szCs w:val="21"/>
              </w:rPr>
              <w:t>案件名称</w:t>
            </w: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丰田合成（中国）投资有限公司收购武汉彬宇汽车零部件有限公司股权案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宋体" w:hAnsi="宋体" w:cs="宋体"/>
                <w:color w:val="333333"/>
                <w:kern w:val="0"/>
                <w:szCs w:val="21"/>
              </w:rPr>
            </w:pPr>
            <w:r>
              <w:rPr>
                <w:rFonts w:hint="eastAsia" w:ascii="宋体" w:hAnsi="宋体" w:cs="宋体"/>
                <w:color w:val="333333"/>
                <w:kern w:val="0"/>
                <w:szCs w:val="21"/>
              </w:rPr>
              <w:t>交易概况</w:t>
            </w:r>
          </w:p>
          <w:p>
            <w:pPr>
              <w:spacing w:line="500" w:lineRule="exact"/>
              <w:jc w:val="center"/>
              <w:rPr>
                <w:rFonts w:ascii="宋体" w:hAnsi="宋体" w:cs="宋体"/>
                <w:color w:val="333333"/>
                <w:kern w:val="0"/>
                <w:szCs w:val="21"/>
              </w:rPr>
            </w:pPr>
            <w:r>
              <w:rPr>
                <w:rFonts w:hint="eastAsia" w:ascii="宋体" w:hAnsi="宋体" w:cs="宋体"/>
                <w:color w:val="333333"/>
                <w:kern w:val="0"/>
                <w:szCs w:val="21"/>
              </w:rPr>
              <w:t>（限200字内）</w:t>
            </w:r>
          </w:p>
        </w:tc>
        <w:tc>
          <w:tcPr>
            <w:tcW w:w="6949" w:type="dxa"/>
            <w:gridSpan w:val="2"/>
          </w:tcPr>
          <w:p>
            <w:pPr>
              <w:spacing w:line="500" w:lineRule="exact"/>
              <w:rPr>
                <w:rFonts w:ascii="宋体" w:hAnsi="宋体" w:cs="宋体"/>
                <w:color w:val="333333"/>
                <w:kern w:val="0"/>
                <w:szCs w:val="21"/>
              </w:rPr>
            </w:pPr>
            <w:r>
              <w:rPr>
                <w:rFonts w:ascii="宋体" w:hAnsi="宋体" w:cs="宋体"/>
                <w:color w:val="333333"/>
                <w:kern w:val="0"/>
                <w:szCs w:val="21"/>
              </w:rPr>
              <w:t>2022</w:t>
            </w:r>
            <w:r>
              <w:rPr>
                <w:rFonts w:hint="eastAsia" w:ascii="宋体" w:hAnsi="宋体" w:cs="宋体"/>
                <w:color w:val="333333"/>
                <w:kern w:val="0"/>
                <w:szCs w:val="21"/>
              </w:rPr>
              <w:t>年2月</w:t>
            </w:r>
            <w:r>
              <w:rPr>
                <w:rFonts w:ascii="宋体" w:hAnsi="宋体" w:cs="宋体"/>
                <w:color w:val="333333"/>
                <w:kern w:val="0"/>
                <w:szCs w:val="21"/>
              </w:rPr>
              <w:t>21</w:t>
            </w:r>
            <w:r>
              <w:rPr>
                <w:rFonts w:hint="eastAsia" w:ascii="宋体" w:hAnsi="宋体" w:cs="宋体"/>
                <w:color w:val="333333"/>
                <w:kern w:val="0"/>
                <w:szCs w:val="21"/>
              </w:rPr>
              <w:t>日，丰田合成（中国）投资有限公司（以下简称</w:t>
            </w:r>
            <w:r>
              <w:rPr>
                <w:rFonts w:hint="eastAsia" w:ascii="宋体" w:hAnsi="宋体" w:cs="宋体"/>
                <w:color w:val="333333"/>
                <w:kern w:val="0"/>
                <w:szCs w:val="21"/>
              </w:rPr>
              <w:t>丰田合成中国</w:t>
            </w:r>
            <w:r>
              <w:rPr>
                <w:rFonts w:hint="eastAsia" w:ascii="宋体" w:hAnsi="宋体" w:cs="宋体"/>
                <w:color w:val="333333"/>
                <w:kern w:val="0"/>
                <w:szCs w:val="21"/>
              </w:rPr>
              <w:t>）和宁波一彬电子科技股份有限公司（以下简称宁波一彬）签署股权转让等交易协议，约定</w:t>
            </w:r>
            <w:r>
              <w:rPr>
                <w:rFonts w:hint="eastAsia" w:ascii="宋体" w:hAnsi="宋体" w:cs="宋体"/>
                <w:color w:val="333333"/>
                <w:kern w:val="0"/>
                <w:szCs w:val="21"/>
              </w:rPr>
              <w:t>丰田合成中国</w:t>
            </w:r>
            <w:r>
              <w:rPr>
                <w:rFonts w:hint="eastAsia" w:ascii="宋体" w:hAnsi="宋体" w:cs="宋体"/>
                <w:color w:val="333333"/>
                <w:kern w:val="0"/>
                <w:szCs w:val="21"/>
              </w:rPr>
              <w:t>受让宁波一彬持有的武汉彬宇汽车零部件有限公司（以下简称武汉彬宇）部分股权，将武汉彬宇变更为一家生产型合营企业，共同利用并运营武汉彬宇在武汉的汽车塑料饰件产品生产设施和产能。</w:t>
            </w:r>
            <w:r>
              <w:rPr>
                <w:rFonts w:hint="eastAsia" w:ascii="宋体" w:hAnsi="宋体" w:cs="宋体"/>
                <w:color w:val="333333"/>
                <w:kern w:val="0"/>
                <w:szCs w:val="21"/>
                <w:highlight w:val="none"/>
              </w:rPr>
              <w:t>交易完成后，武汉彬宇将由之前的宁波一彬一方单独控制变为合营双方共同控制。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宋体" w:hAnsi="宋体" w:cs="宋体"/>
                <w:color w:val="333333"/>
                <w:kern w:val="0"/>
                <w:szCs w:val="21"/>
              </w:rPr>
            </w:pPr>
            <w:r>
              <w:rPr>
                <w:rFonts w:hint="eastAsia" w:ascii="宋体" w:hAnsi="宋体" w:cs="宋体"/>
                <w:color w:val="333333"/>
                <w:kern w:val="0"/>
                <w:szCs w:val="21"/>
              </w:rPr>
              <w:t>参与集中的</w:t>
            </w:r>
          </w:p>
          <w:p>
            <w:pPr>
              <w:spacing w:line="500" w:lineRule="exact"/>
              <w:jc w:val="center"/>
              <w:rPr>
                <w:rFonts w:ascii="宋体" w:hAnsi="宋体" w:cs="宋体"/>
                <w:color w:val="333333"/>
                <w:kern w:val="0"/>
                <w:szCs w:val="21"/>
              </w:rPr>
            </w:pPr>
            <w:r>
              <w:rPr>
                <w:rFonts w:hint="eastAsia" w:ascii="宋体" w:hAnsi="宋体" w:cs="宋体"/>
                <w:color w:val="333333"/>
                <w:kern w:val="0"/>
                <w:szCs w:val="21"/>
              </w:rPr>
              <w:t>经营者简介</w:t>
            </w:r>
          </w:p>
        </w:tc>
        <w:tc>
          <w:tcPr>
            <w:tcW w:w="1418" w:type="dxa"/>
          </w:tcPr>
          <w:p>
            <w:pPr>
              <w:spacing w:line="500" w:lineRule="exact"/>
              <w:rPr>
                <w:rFonts w:ascii="宋体" w:hAnsi="宋体" w:cs="宋体"/>
                <w:color w:val="333333"/>
                <w:kern w:val="0"/>
                <w:szCs w:val="21"/>
                <w:lang w:eastAsia="ja-JP"/>
              </w:rPr>
            </w:pPr>
            <w:r>
              <w:rPr>
                <w:rFonts w:hint="eastAsia" w:ascii="宋体" w:hAnsi="宋体" w:cs="宋体"/>
                <w:color w:val="333333"/>
                <w:kern w:val="0"/>
                <w:szCs w:val="21"/>
              </w:rPr>
              <w:t>1、</w:t>
            </w:r>
            <w:r>
              <w:rPr>
                <w:rFonts w:hint="eastAsia" w:ascii="宋体" w:hAnsi="宋体" w:cs="宋体"/>
                <w:color w:val="333333"/>
                <w:kern w:val="0"/>
                <w:szCs w:val="21"/>
              </w:rPr>
              <w:t>丰田合成中国</w:t>
            </w:r>
          </w:p>
        </w:tc>
        <w:tc>
          <w:tcPr>
            <w:tcW w:w="5531" w:type="dxa"/>
          </w:tcPr>
          <w:p>
            <w:pPr>
              <w:spacing w:line="500" w:lineRule="exact"/>
              <w:rPr>
                <w:rFonts w:ascii="宋体" w:hAnsi="宋体" w:cs="宋体"/>
                <w:color w:val="333333"/>
                <w:kern w:val="0"/>
                <w:szCs w:val="21"/>
              </w:rPr>
            </w:pPr>
            <w:r>
              <w:rPr>
                <w:rFonts w:hint="eastAsia" w:ascii="宋体" w:hAnsi="宋体" w:cs="宋体"/>
                <w:color w:val="333333"/>
                <w:kern w:val="0"/>
                <w:szCs w:val="21"/>
              </w:rPr>
              <w:t>丰田合成中国</w:t>
            </w:r>
            <w:r>
              <w:rPr>
                <w:rFonts w:hint="eastAsia" w:ascii="宋体" w:hAnsi="宋体" w:cs="宋体"/>
                <w:color w:val="333333"/>
                <w:kern w:val="0"/>
                <w:szCs w:val="21"/>
              </w:rPr>
              <w:t>，2006年设立于上海，从事汽车部品（汽车密封产品、机能部件、车内外装部件、安全系统产品）的制造和销售等业务。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1418" w:type="dxa"/>
          </w:tcPr>
          <w:p>
            <w:pPr>
              <w:spacing w:line="500" w:lineRule="exact"/>
              <w:rPr>
                <w:rFonts w:ascii="宋体" w:hAnsi="宋体" w:cs="宋体"/>
                <w:color w:val="333333"/>
                <w:kern w:val="0"/>
                <w:szCs w:val="21"/>
              </w:rPr>
            </w:pPr>
            <w:r>
              <w:rPr>
                <w:rFonts w:hint="eastAsia" w:ascii="宋体" w:hAnsi="宋体" w:cs="宋体"/>
                <w:color w:val="333333"/>
                <w:kern w:val="0"/>
                <w:szCs w:val="21"/>
              </w:rPr>
              <w:t>2、宁波一彬</w:t>
            </w:r>
          </w:p>
        </w:tc>
        <w:tc>
          <w:tcPr>
            <w:tcW w:w="5531" w:type="dxa"/>
          </w:tcPr>
          <w:p>
            <w:pPr>
              <w:spacing w:line="500" w:lineRule="exact"/>
              <w:rPr>
                <w:rFonts w:ascii="宋体" w:hAnsi="宋体" w:cs="宋体"/>
                <w:color w:val="333333"/>
                <w:kern w:val="0"/>
                <w:szCs w:val="21"/>
              </w:rPr>
            </w:pPr>
            <w:r>
              <w:rPr>
                <w:rFonts w:hint="eastAsia" w:ascii="宋体" w:hAnsi="宋体" w:cs="宋体"/>
                <w:color w:val="333333"/>
                <w:kern w:val="0"/>
                <w:szCs w:val="21"/>
              </w:rPr>
              <w:t>宁波一彬，创立于2006年，主要专注于汽车饰件、电子件、螺母板（冲压件）的研发和制造。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宋体" w:hAnsi="宋体" w:cs="宋体"/>
                <w:color w:val="333333"/>
                <w:kern w:val="0"/>
                <w:szCs w:val="21"/>
              </w:rPr>
            </w:pPr>
            <w:r>
              <w:rPr>
                <w:rFonts w:hint="eastAsia" w:ascii="宋体" w:hAnsi="宋体" w:cs="宋体"/>
                <w:color w:val="333333"/>
                <w:kern w:val="0"/>
                <w:szCs w:val="21"/>
              </w:rPr>
              <w:t>简易案件理由（可以单选，也可以多选）</w:t>
            </w: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sym w:font="Wingdings" w:char="F0FE"/>
            </w:r>
            <w:r>
              <w:rPr>
                <w:rFonts w:hint="eastAsia" w:ascii="宋体" w:hAnsi="宋体" w:cs="宋体"/>
                <w:color w:val="333333"/>
                <w:kern w:val="0"/>
                <w:szCs w:val="21"/>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宋体" w:hAnsi="宋体" w:cs="宋体"/>
                <w:color w:val="333333"/>
                <w:kern w:val="0"/>
                <w:szCs w:val="21"/>
              </w:rPr>
            </w:pP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Cs w:val="21"/>
              </w:rPr>
            </w:pPr>
            <w:r>
              <w:rPr>
                <w:rFonts w:hint="eastAsia" w:ascii="宋体" w:hAnsi="宋体" w:cs="宋体"/>
                <w:color w:val="333333"/>
                <w:kern w:val="0"/>
                <w:szCs w:val="21"/>
              </w:rPr>
              <w:t>备注</w:t>
            </w:r>
          </w:p>
        </w:tc>
        <w:tc>
          <w:tcPr>
            <w:tcW w:w="6949" w:type="dxa"/>
            <w:gridSpan w:val="2"/>
          </w:tcPr>
          <w:p>
            <w:pPr>
              <w:spacing w:line="500" w:lineRule="exact"/>
              <w:rPr>
                <w:rFonts w:ascii="宋体" w:hAnsi="宋体" w:cs="宋体"/>
                <w:color w:val="333333"/>
                <w:kern w:val="0"/>
                <w:szCs w:val="21"/>
              </w:rPr>
            </w:pPr>
            <w:r>
              <w:rPr>
                <w:rFonts w:hint="eastAsia" w:ascii="宋体" w:hAnsi="宋体" w:cs="宋体"/>
                <w:color w:val="333333"/>
                <w:kern w:val="0"/>
                <w:szCs w:val="21"/>
              </w:rPr>
              <w:t>相关商品市场及</w:t>
            </w:r>
            <w:r>
              <w:rPr>
                <w:rFonts w:ascii="宋体" w:hAnsi="宋体" w:cs="宋体"/>
                <w:color w:val="333333"/>
                <w:kern w:val="0"/>
                <w:szCs w:val="21"/>
              </w:rPr>
              <w:t>相关市场份额：</w:t>
            </w:r>
          </w:p>
          <w:p>
            <w:pPr>
              <w:spacing w:line="500" w:lineRule="exact"/>
              <w:rPr>
                <w:rFonts w:hint="eastAsia" w:ascii="宋体" w:hAnsi="宋体" w:cs="宋体"/>
                <w:color w:val="333333"/>
                <w:kern w:val="0"/>
                <w:szCs w:val="21"/>
                <w:lang w:eastAsia="zh-CN"/>
              </w:rPr>
            </w:pPr>
            <w:r>
              <w:rPr>
                <w:rFonts w:hint="eastAsia" w:ascii="宋体" w:hAnsi="宋体" w:cs="宋体"/>
                <w:color w:val="333333"/>
                <w:kern w:val="0"/>
                <w:szCs w:val="21"/>
                <w:lang w:val="en-US" w:eastAsia="zh-CN"/>
              </w:rPr>
              <w:t>汽车塑料饰件产品市场</w:t>
            </w:r>
            <w:r>
              <w:rPr>
                <w:rFonts w:hint="eastAsia" w:ascii="宋体" w:hAnsi="宋体" w:cs="宋体"/>
                <w:color w:val="333333"/>
                <w:kern w:val="0"/>
                <w:szCs w:val="21"/>
              </w:rPr>
              <w:t>：丰田合成中国0-5%</w:t>
            </w:r>
            <w:r>
              <w:rPr>
                <w:rFonts w:hint="eastAsia" w:ascii="宋体" w:hAnsi="宋体" w:cs="宋体"/>
                <w:color w:val="333333"/>
                <w:kern w:val="0"/>
                <w:szCs w:val="21"/>
                <w:lang w:eastAsia="zh-CN"/>
              </w:rPr>
              <w:t>；</w:t>
            </w:r>
            <w:r>
              <w:rPr>
                <w:rFonts w:hint="eastAsia" w:ascii="宋体" w:hAnsi="宋体" w:cs="宋体"/>
                <w:color w:val="333333"/>
                <w:kern w:val="0"/>
                <w:szCs w:val="21"/>
              </w:rPr>
              <w:t>宁波一彬0-5%</w:t>
            </w:r>
            <w:r>
              <w:rPr>
                <w:rFonts w:hint="eastAsia" w:ascii="宋体" w:hAnsi="宋体" w:cs="宋体"/>
                <w:color w:val="333333"/>
                <w:kern w:val="0"/>
                <w:szCs w:val="21"/>
                <w:lang w:eastAsia="zh-CN"/>
              </w:rPr>
              <w:t>；</w:t>
            </w:r>
            <w:r>
              <w:rPr>
                <w:rFonts w:hint="default" w:ascii="宋体" w:hAnsi="宋体" w:cs="宋体"/>
                <w:color w:val="333333"/>
                <w:kern w:val="0"/>
                <w:szCs w:val="21"/>
                <w:lang w:val="en-US" w:eastAsia="zh-CN"/>
              </w:rPr>
              <w:t>集中方合计</w:t>
            </w:r>
            <w:r>
              <w:rPr>
                <w:rFonts w:hint="eastAsia" w:ascii="宋体" w:hAnsi="宋体" w:cs="宋体"/>
                <w:color w:val="333333"/>
                <w:kern w:val="0"/>
                <w:szCs w:val="21"/>
              </w:rPr>
              <w:t>0-5%</w:t>
            </w:r>
            <w:r>
              <w:rPr>
                <w:rFonts w:hint="eastAsia" w:ascii="宋体" w:hAnsi="宋体" w:cs="宋体"/>
                <w:color w:val="333333"/>
                <w:kern w:val="0"/>
                <w:szCs w:val="21"/>
                <w:lang w:eastAsia="zh-CN"/>
              </w:rPr>
              <w:t>。</w:t>
            </w:r>
          </w:p>
          <w:p>
            <w:pPr>
              <w:spacing w:line="500" w:lineRule="exact"/>
              <w:rPr>
                <w:rFonts w:ascii="宋体" w:hAnsi="宋体" w:cs="宋体"/>
                <w:color w:val="333333"/>
                <w:kern w:val="0"/>
                <w:szCs w:val="21"/>
              </w:rPr>
            </w:pPr>
            <w:r>
              <w:rPr>
                <w:rFonts w:hint="eastAsia" w:ascii="宋体" w:hAnsi="宋体" w:cs="宋体"/>
                <w:color w:val="333333"/>
                <w:kern w:val="0"/>
                <w:szCs w:val="21"/>
              </w:rPr>
              <w:t>相</w:t>
            </w:r>
            <w:bookmarkStart w:id="0" w:name="_GoBack"/>
            <w:bookmarkEnd w:id="0"/>
            <w:r>
              <w:rPr>
                <w:rFonts w:hint="eastAsia" w:ascii="宋体" w:hAnsi="宋体" w:cs="宋体"/>
                <w:color w:val="333333"/>
                <w:kern w:val="0"/>
                <w:szCs w:val="21"/>
              </w:rPr>
              <w:t>关地域市场：中国国内市场。</w:t>
            </w:r>
          </w:p>
        </w:tc>
      </w:tr>
    </w:tbl>
    <w:p>
      <w:pPr>
        <w:snapToGrid w:val="0"/>
        <w:spacing w:line="240" w:lineRule="exact"/>
        <w:jc w:val="left"/>
        <w:rPr>
          <w:rFonts w:ascii="宋体" w:hAnsi="宋体"/>
          <w:szCs w:val="21"/>
        </w:rPr>
      </w:pPr>
    </w:p>
    <w:p>
      <w:pPr>
        <w:rPr>
          <w:rFonts w:ascii="宋体" w:hAnsi="宋体"/>
          <w:szCs w:val="21"/>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E4"/>
    <w:rsid w:val="00080947"/>
    <w:rsid w:val="002D0B32"/>
    <w:rsid w:val="00335EE4"/>
    <w:rsid w:val="004F38EB"/>
    <w:rsid w:val="005B3289"/>
    <w:rsid w:val="00656380"/>
    <w:rsid w:val="006B0F29"/>
    <w:rsid w:val="00784DFC"/>
    <w:rsid w:val="007C30EA"/>
    <w:rsid w:val="007E1CAF"/>
    <w:rsid w:val="0080021F"/>
    <w:rsid w:val="009A0C73"/>
    <w:rsid w:val="009E5F1F"/>
    <w:rsid w:val="00A70FC7"/>
    <w:rsid w:val="00BD38BD"/>
    <w:rsid w:val="00C040A9"/>
    <w:rsid w:val="00D466BD"/>
    <w:rsid w:val="00EA6351"/>
    <w:rsid w:val="46A8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1180</Characters>
  <Lines>9</Lines>
  <Paragraphs>2</Paragraphs>
  <TotalTime>0</TotalTime>
  <ScaleCrop>false</ScaleCrop>
  <LinksUpToDate>false</LinksUpToDate>
  <CharactersWithSpaces>1385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2022-03-23T14:25:00Z</dcterms:created>
  <dc:creator>JT&amp;N</dc:creator>
  <cp:lastModifiedBy>常亮</cp:lastModifiedBy>
  <dcterms:modified xsi:type="dcterms:W3CDTF">2022-03-30T07:38:17Z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